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A3C5" w14:textId="4AEEB81F" w:rsidR="00F674FD" w:rsidRPr="00437E05" w:rsidRDefault="00F674FD" w:rsidP="00F674FD">
      <w:pPr>
        <w:spacing w:after="0"/>
        <w:jc w:val="center"/>
        <w:rPr>
          <w:rFonts w:ascii="Times New Roman" w:eastAsia="Calibri" w:hAnsi="Times New Roman" w:cs="Times New Roman"/>
          <w:b/>
          <w:sz w:val="24"/>
          <w:szCs w:val="24"/>
        </w:rPr>
      </w:pPr>
      <w:r w:rsidRPr="00437E05">
        <w:rPr>
          <w:rFonts w:ascii="Times New Roman" w:eastAsia="Calibri" w:hAnsi="Times New Roman" w:cs="Times New Roman"/>
          <w:b/>
          <w:caps/>
          <w:sz w:val="24"/>
          <w:szCs w:val="24"/>
        </w:rPr>
        <w:t>Український гідрометеорологічний центр</w:t>
      </w:r>
    </w:p>
    <w:p w14:paraId="4E856E11" w14:textId="6D0EF115" w:rsidR="00CD4F50" w:rsidRPr="00437E05" w:rsidRDefault="00F674FD" w:rsidP="00F674FD">
      <w:pPr>
        <w:spacing w:after="0"/>
        <w:jc w:val="center"/>
        <w:rPr>
          <w:rFonts w:ascii="Times New Roman" w:eastAsia="Calibri" w:hAnsi="Times New Roman" w:cs="Times New Roman"/>
          <w:b/>
          <w:sz w:val="24"/>
          <w:szCs w:val="24"/>
        </w:rPr>
      </w:pPr>
      <w:r w:rsidRPr="00437E05">
        <w:rPr>
          <w:rFonts w:ascii="Times New Roman" w:eastAsia="Calibri" w:hAnsi="Times New Roman" w:cs="Times New Roman"/>
          <w:b/>
          <w:sz w:val="24"/>
          <w:szCs w:val="24"/>
        </w:rPr>
        <w:t>ДЕРЖАВНОЇ СЛУЖБИ УКРАЇНИ З НАДЗВИЧАЙНИХ СИТУАЦІЙ</w:t>
      </w:r>
    </w:p>
    <w:p w14:paraId="65B5B302" w14:textId="77777777" w:rsidR="00F674FD" w:rsidRPr="00437E05" w:rsidRDefault="00F674FD" w:rsidP="00F674FD">
      <w:pPr>
        <w:spacing w:after="0"/>
        <w:jc w:val="center"/>
        <w:rPr>
          <w:rFonts w:ascii="Times New Roman" w:eastAsia="Calibri" w:hAnsi="Times New Roman" w:cs="Times New Roman"/>
          <w:b/>
          <w:sz w:val="24"/>
          <w:szCs w:val="24"/>
        </w:rPr>
      </w:pPr>
    </w:p>
    <w:p w14:paraId="747FB5C1" w14:textId="77777777" w:rsidR="00F674FD" w:rsidRPr="00437E05" w:rsidRDefault="00F674FD" w:rsidP="00F674FD">
      <w:pPr>
        <w:spacing w:after="0"/>
        <w:jc w:val="center"/>
        <w:rPr>
          <w:rFonts w:ascii="Times New Roman" w:eastAsia="Calibri" w:hAnsi="Times New Roman" w:cs="Times New Roman"/>
          <w:b/>
          <w:sz w:val="24"/>
          <w:szCs w:val="24"/>
        </w:rPr>
      </w:pPr>
    </w:p>
    <w:p w14:paraId="6C5C8156" w14:textId="77777777" w:rsidR="00F674FD" w:rsidRPr="00437E05" w:rsidRDefault="00F674FD" w:rsidP="00F674FD">
      <w:pPr>
        <w:spacing w:after="0"/>
        <w:jc w:val="cente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w:t>
      </w:r>
    </w:p>
    <w:p w14:paraId="7B22B21F" w14:textId="3C291DBF" w:rsidR="00F674FD" w:rsidRPr="00437E05" w:rsidRDefault="00F674FD" w:rsidP="00F674FD">
      <w:pPr>
        <w:spacing w:after="0"/>
        <w:jc w:val="center"/>
        <w:rPr>
          <w:rFonts w:ascii="Times New Roman" w:hAnsi="Times New Roman" w:cs="Times New Roman"/>
          <w:b/>
          <w:bCs/>
          <w:sz w:val="24"/>
          <w:szCs w:val="24"/>
        </w:rPr>
      </w:pPr>
      <w:r w:rsidRPr="00437E05">
        <w:rPr>
          <w:rFonts w:ascii="Times New Roman" w:hAnsi="Times New Roman" w:cs="Times New Roman"/>
          <w:b/>
          <w:bCs/>
          <w:sz w:val="24"/>
          <w:szCs w:val="24"/>
        </w:rPr>
        <w:t>технічних та якісних характеристик закупівлі, розміру бюджетного призначення, очікуваної вартості предмета закупівлі</w:t>
      </w:r>
    </w:p>
    <w:p w14:paraId="213C4656" w14:textId="77777777" w:rsidR="00B4675F" w:rsidRPr="00437E05" w:rsidRDefault="00B4675F" w:rsidP="00F674FD">
      <w:pPr>
        <w:spacing w:after="0"/>
        <w:jc w:val="center"/>
        <w:rPr>
          <w:rFonts w:ascii="Times New Roman" w:hAnsi="Times New Roman" w:cs="Times New Roman"/>
          <w:b/>
          <w:bCs/>
          <w:sz w:val="24"/>
          <w:szCs w:val="24"/>
        </w:rPr>
      </w:pPr>
    </w:p>
    <w:p w14:paraId="4F6E911F" w14:textId="77777777" w:rsidR="00B4675F" w:rsidRPr="00437E05" w:rsidRDefault="00B4675F" w:rsidP="00B4675F">
      <w:pPr>
        <w:suppressAutoHyphens/>
        <w:autoSpaceDN w:val="0"/>
        <w:spacing w:after="0" w:line="240" w:lineRule="auto"/>
        <w:jc w:val="center"/>
        <w:textAlignment w:val="baseline"/>
        <w:rPr>
          <w:rFonts w:ascii="Times New Roman" w:eastAsia="Calibri" w:hAnsi="Times New Roman" w:cs="Times New Roman"/>
          <w:kern w:val="3"/>
          <w:sz w:val="24"/>
          <w:szCs w:val="24"/>
        </w:rPr>
      </w:pPr>
      <w:r w:rsidRPr="00437E05">
        <w:rPr>
          <w:rFonts w:ascii="Times New Roman" w:eastAsia="Calibri" w:hAnsi="Times New Roman" w:cs="Times New Roman"/>
          <w:bCs/>
          <w:i/>
          <w:iCs/>
          <w:kern w:val="3"/>
          <w:sz w:val="24"/>
          <w:szCs w:val="24"/>
        </w:rPr>
        <w:t>(оприлюднюється на виконання постанови КМУ від 11.10.2016 № 710 «Про ефективне використання державних коштів» (зі змінами))</w:t>
      </w:r>
    </w:p>
    <w:p w14:paraId="153C900A" w14:textId="77777777" w:rsidR="00B4675F" w:rsidRPr="00437E05" w:rsidRDefault="00B4675F" w:rsidP="00C47C4C">
      <w:pPr>
        <w:spacing w:after="0"/>
        <w:rPr>
          <w:rFonts w:ascii="Times New Roman" w:hAnsi="Times New Roman" w:cs="Times New Roman"/>
          <w:sz w:val="24"/>
          <w:szCs w:val="24"/>
        </w:rPr>
      </w:pPr>
    </w:p>
    <w:tbl>
      <w:tblPr>
        <w:tblStyle w:val="a3"/>
        <w:tblW w:w="14596" w:type="dxa"/>
        <w:tblLook w:val="04A0" w:firstRow="1" w:lastRow="0" w:firstColumn="1" w:lastColumn="0" w:noHBand="0" w:noVBand="1"/>
      </w:tblPr>
      <w:tblGrid>
        <w:gridCol w:w="456"/>
        <w:gridCol w:w="6787"/>
        <w:gridCol w:w="7353"/>
      </w:tblGrid>
      <w:tr w:rsidR="00C47C4C" w:rsidRPr="00437E05" w14:paraId="457DF46F" w14:textId="77777777" w:rsidTr="00314D26">
        <w:trPr>
          <w:trHeight w:val="1099"/>
        </w:trPr>
        <w:tc>
          <w:tcPr>
            <w:tcW w:w="421" w:type="dxa"/>
          </w:tcPr>
          <w:p w14:paraId="27B00E31" w14:textId="0824EC52" w:rsidR="00C47C4C" w:rsidRPr="00437E05" w:rsidRDefault="00C47C4C" w:rsidP="00C47C4C">
            <w:pPr>
              <w:rPr>
                <w:rFonts w:ascii="Times New Roman" w:hAnsi="Times New Roman" w:cs="Times New Roman"/>
                <w:sz w:val="24"/>
                <w:szCs w:val="24"/>
              </w:rPr>
            </w:pPr>
            <w:r w:rsidRPr="00437E05">
              <w:rPr>
                <w:rFonts w:ascii="Times New Roman" w:hAnsi="Times New Roman" w:cs="Times New Roman"/>
                <w:sz w:val="24"/>
                <w:szCs w:val="24"/>
              </w:rPr>
              <w:t>1</w:t>
            </w:r>
          </w:p>
        </w:tc>
        <w:tc>
          <w:tcPr>
            <w:tcW w:w="6804" w:type="dxa"/>
          </w:tcPr>
          <w:p w14:paraId="281D43AC" w14:textId="66C4D474" w:rsidR="00C47C4C" w:rsidRPr="00437E05" w:rsidRDefault="00C47C4C" w:rsidP="00C47C4C">
            <w:pPr>
              <w:rPr>
                <w:rFonts w:ascii="Times New Roman" w:hAnsi="Times New Roman" w:cs="Times New Roman"/>
                <w:b/>
                <w:bCs/>
                <w:sz w:val="24"/>
                <w:szCs w:val="24"/>
              </w:rPr>
            </w:pPr>
            <w:r w:rsidRPr="00437E05">
              <w:rPr>
                <w:rFonts w:ascii="Times New Roman" w:hAnsi="Times New Roman" w:cs="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7371" w:type="dxa"/>
          </w:tcPr>
          <w:p w14:paraId="693E7687" w14:textId="77777777" w:rsidR="00C47C4C" w:rsidRPr="00437E05" w:rsidRDefault="00C47C4C" w:rsidP="00C47C4C">
            <w:pPr>
              <w:rPr>
                <w:rFonts w:ascii="Times New Roman" w:hAnsi="Times New Roman" w:cs="Times New Roman"/>
                <w:sz w:val="24"/>
                <w:szCs w:val="24"/>
              </w:rPr>
            </w:pPr>
            <w:r w:rsidRPr="00437E05">
              <w:rPr>
                <w:rFonts w:ascii="Times New Roman" w:hAnsi="Times New Roman" w:cs="Times New Roman"/>
                <w:sz w:val="24"/>
                <w:szCs w:val="24"/>
              </w:rPr>
              <w:t>Український гідрометеорологічний центр Державної служби України з надзвичайних ситуацій.</w:t>
            </w:r>
          </w:p>
          <w:p w14:paraId="6741FD10" w14:textId="77777777" w:rsidR="00C47C4C" w:rsidRPr="00437E05" w:rsidRDefault="00C47C4C" w:rsidP="00C47C4C">
            <w:pPr>
              <w:jc w:val="both"/>
              <w:rPr>
                <w:rFonts w:ascii="Times New Roman" w:hAnsi="Times New Roman" w:cs="Times New Roman"/>
                <w:sz w:val="24"/>
                <w:szCs w:val="24"/>
              </w:rPr>
            </w:pPr>
            <w:r w:rsidRPr="00437E05">
              <w:rPr>
                <w:rFonts w:ascii="Times New Roman" w:hAnsi="Times New Roman" w:cs="Times New Roman"/>
                <w:sz w:val="24"/>
                <w:szCs w:val="24"/>
              </w:rPr>
              <w:t xml:space="preserve"> 01601, Україна, м. Київ, вул. Золотоворітська, 6 корпус В. </w:t>
            </w:r>
          </w:p>
          <w:p w14:paraId="05B9D71C" w14:textId="517EB6BD" w:rsidR="00C47C4C" w:rsidRPr="00437E05" w:rsidRDefault="00C47C4C" w:rsidP="00314D26">
            <w:pPr>
              <w:jc w:val="both"/>
              <w:rPr>
                <w:rFonts w:ascii="Times New Roman" w:hAnsi="Times New Roman" w:cs="Times New Roman"/>
                <w:sz w:val="24"/>
                <w:szCs w:val="24"/>
              </w:rPr>
            </w:pPr>
            <w:r w:rsidRPr="00437E05">
              <w:rPr>
                <w:rFonts w:ascii="Times New Roman" w:hAnsi="Times New Roman" w:cs="Times New Roman"/>
                <w:sz w:val="24"/>
                <w:szCs w:val="24"/>
              </w:rPr>
              <w:t>Код ЄДРПОУ: 25836018</w:t>
            </w:r>
          </w:p>
        </w:tc>
      </w:tr>
      <w:tr w:rsidR="00C47C4C" w:rsidRPr="00437E05" w14:paraId="4DCC7F26" w14:textId="77777777" w:rsidTr="00314D26">
        <w:trPr>
          <w:trHeight w:val="1270"/>
        </w:trPr>
        <w:tc>
          <w:tcPr>
            <w:tcW w:w="421" w:type="dxa"/>
          </w:tcPr>
          <w:p w14:paraId="0C17270F" w14:textId="2DAF70A8" w:rsidR="00C47C4C" w:rsidRPr="00437E05" w:rsidRDefault="00C47C4C" w:rsidP="00F674FD">
            <w:pPr>
              <w:jc w:val="center"/>
              <w:rPr>
                <w:rFonts w:ascii="Times New Roman" w:hAnsi="Times New Roman" w:cs="Times New Roman"/>
                <w:sz w:val="24"/>
                <w:szCs w:val="24"/>
              </w:rPr>
            </w:pPr>
            <w:r w:rsidRPr="00437E05">
              <w:rPr>
                <w:rFonts w:ascii="Times New Roman" w:hAnsi="Times New Roman" w:cs="Times New Roman"/>
                <w:sz w:val="24"/>
                <w:szCs w:val="24"/>
              </w:rPr>
              <w:t>2</w:t>
            </w:r>
          </w:p>
        </w:tc>
        <w:tc>
          <w:tcPr>
            <w:tcW w:w="6804" w:type="dxa"/>
          </w:tcPr>
          <w:p w14:paraId="6F423107" w14:textId="5EDE0667" w:rsidR="00C47C4C" w:rsidRPr="00437E05" w:rsidRDefault="00C47C4C" w:rsidP="00314D26">
            <w:pPr>
              <w:jc w:val="both"/>
              <w:rPr>
                <w:rFonts w:ascii="Times New Roman" w:hAnsi="Times New Roman" w:cs="Times New Roman"/>
                <w:sz w:val="24"/>
                <w:szCs w:val="24"/>
              </w:rPr>
            </w:pPr>
            <w:r w:rsidRPr="00437E05">
              <w:rPr>
                <w:rFonts w:ascii="Times New Roman" w:eastAsia="Times New Roman" w:hAnsi="Times New Roman" w:cs="Times New Roman"/>
                <w:b/>
                <w:bCs/>
                <w:iCs/>
                <w:color w:val="000000"/>
                <w:kern w:val="3"/>
                <w:sz w:val="24"/>
                <w:szCs w:val="24"/>
              </w:rPr>
              <w:t xml:space="preserve">Назва предмета закупівлі </w:t>
            </w:r>
            <w:r w:rsidRPr="00437E05">
              <w:rPr>
                <w:rFonts w:ascii="Times New Roman" w:eastAsia="Times New Roman" w:hAnsi="Times New Roman" w:cs="Times New Roman"/>
                <w:b/>
                <w:color w:val="000000"/>
                <w:kern w:val="3"/>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7371" w:type="dxa"/>
          </w:tcPr>
          <w:p w14:paraId="28B49F82" w14:textId="77777777" w:rsidR="003E67B9" w:rsidRDefault="003E67B9" w:rsidP="00C47C4C">
            <w:pPr>
              <w:jc w:val="both"/>
              <w:rPr>
                <w:rFonts w:ascii="Times New Roman" w:hAnsi="Times New Roman" w:cs="Times New Roman"/>
                <w:sz w:val="24"/>
                <w:szCs w:val="24"/>
              </w:rPr>
            </w:pPr>
            <w:r w:rsidRPr="003E67B9">
              <w:rPr>
                <w:rFonts w:ascii="Times New Roman" w:hAnsi="Times New Roman" w:cs="Times New Roman"/>
                <w:sz w:val="24"/>
                <w:szCs w:val="24"/>
              </w:rPr>
              <w:t xml:space="preserve">Сервери </w:t>
            </w:r>
            <w:r w:rsidRPr="003E67B9">
              <w:rPr>
                <w:rFonts w:ascii="Times New Roman" w:hAnsi="Times New Roman" w:cs="Times New Roman"/>
                <w:sz w:val="24"/>
                <w:szCs w:val="24"/>
                <w:lang w:val="en-US"/>
              </w:rPr>
              <w:t>Dell PowerEdge</w:t>
            </w:r>
            <w:r w:rsidRPr="003E67B9">
              <w:rPr>
                <w:rFonts w:ascii="Times New Roman" w:hAnsi="Times New Roman" w:cs="Times New Roman"/>
                <w:sz w:val="24"/>
                <w:szCs w:val="24"/>
              </w:rPr>
              <w:t xml:space="preserve"> R750xs (або еквіваленти)</w:t>
            </w:r>
          </w:p>
          <w:p w14:paraId="595FDDCA" w14:textId="55CB61CE" w:rsidR="00C47C4C" w:rsidRPr="00437E05" w:rsidRDefault="003E67B9" w:rsidP="003E67B9">
            <w:pPr>
              <w:rPr>
                <w:rFonts w:ascii="Times New Roman" w:hAnsi="Times New Roman" w:cs="Times New Roman"/>
                <w:sz w:val="24"/>
                <w:szCs w:val="24"/>
              </w:rPr>
            </w:pPr>
            <w:r w:rsidRPr="003E67B9">
              <w:rPr>
                <w:rFonts w:ascii="Times New Roman" w:hAnsi="Times New Roman" w:cs="Times New Roman"/>
                <w:sz w:val="24"/>
                <w:szCs w:val="24"/>
              </w:rPr>
              <w:t>(ДК 021:2015: 48820000-2 — Сервери)</w:t>
            </w:r>
          </w:p>
        </w:tc>
      </w:tr>
      <w:tr w:rsidR="00C47C4C" w:rsidRPr="00437E05" w14:paraId="4A05C325" w14:textId="77777777" w:rsidTr="00314D26">
        <w:tc>
          <w:tcPr>
            <w:tcW w:w="421" w:type="dxa"/>
          </w:tcPr>
          <w:p w14:paraId="3936BCCE" w14:textId="06A89395" w:rsidR="00C47C4C" w:rsidRPr="00437E05" w:rsidRDefault="00314D26" w:rsidP="00F674FD">
            <w:pPr>
              <w:jc w:val="center"/>
              <w:rPr>
                <w:rFonts w:ascii="Times New Roman" w:hAnsi="Times New Roman" w:cs="Times New Roman"/>
                <w:sz w:val="24"/>
                <w:szCs w:val="24"/>
              </w:rPr>
            </w:pPr>
            <w:r w:rsidRPr="00437E05">
              <w:rPr>
                <w:rFonts w:ascii="Times New Roman" w:hAnsi="Times New Roman" w:cs="Times New Roman"/>
                <w:sz w:val="24"/>
                <w:szCs w:val="24"/>
              </w:rPr>
              <w:t>3</w:t>
            </w:r>
          </w:p>
        </w:tc>
        <w:tc>
          <w:tcPr>
            <w:tcW w:w="6804" w:type="dxa"/>
          </w:tcPr>
          <w:p w14:paraId="03F6092D" w14:textId="6510B8AE" w:rsidR="00C47C4C" w:rsidRPr="00437E05" w:rsidRDefault="00314D26" w:rsidP="00314D26">
            <w:pPr>
              <w:rPr>
                <w:rFonts w:ascii="Times New Roman" w:hAnsi="Times New Roman" w:cs="Times New Roman"/>
                <w:sz w:val="24"/>
                <w:szCs w:val="24"/>
              </w:rPr>
            </w:pPr>
            <w:r w:rsidRPr="00437E05">
              <w:rPr>
                <w:rFonts w:ascii="Times New Roman" w:hAnsi="Times New Roman" w:cs="Times New Roman"/>
                <w:b/>
                <w:bCs/>
                <w:sz w:val="24"/>
                <w:szCs w:val="24"/>
              </w:rPr>
              <w:t>Вид та ідентифікатор процедури закупівлі:</w:t>
            </w:r>
          </w:p>
        </w:tc>
        <w:tc>
          <w:tcPr>
            <w:tcW w:w="7371" w:type="dxa"/>
          </w:tcPr>
          <w:p w14:paraId="118D0B95" w14:textId="55765ECF" w:rsidR="00314D26" w:rsidRPr="00437E05" w:rsidRDefault="00314D26" w:rsidP="00314D26">
            <w:pPr>
              <w:jc w:val="both"/>
              <w:rPr>
                <w:rFonts w:ascii="Times New Roman" w:hAnsi="Times New Roman" w:cs="Times New Roman"/>
                <w:sz w:val="24"/>
                <w:szCs w:val="24"/>
              </w:rPr>
            </w:pPr>
            <w:r w:rsidRPr="00437E05">
              <w:rPr>
                <w:rFonts w:ascii="Times New Roman" w:hAnsi="Times New Roman" w:cs="Times New Roman"/>
                <w:sz w:val="24"/>
                <w:szCs w:val="24"/>
              </w:rPr>
              <w:t xml:space="preserve">Відкриті торги з особливостями </w:t>
            </w:r>
            <w:r w:rsidR="00FF2BB7" w:rsidRPr="00FF2BB7">
              <w:rPr>
                <w:rFonts w:ascii="Times New Roman" w:hAnsi="Times New Roman" w:cs="Times New Roman"/>
                <w:sz w:val="24"/>
                <w:szCs w:val="24"/>
              </w:rPr>
              <w:tab/>
            </w:r>
            <w:r w:rsidR="00E31014">
              <w:rPr>
                <w:rFonts w:ascii="Times New Roman" w:hAnsi="Times New Roman" w:cs="Times New Roman"/>
                <w:sz w:val="24"/>
                <w:szCs w:val="24"/>
              </w:rPr>
              <w:fldChar w:fldCharType="begin"/>
            </w:r>
            <w:r w:rsidR="00F346D2">
              <w:rPr>
                <w:rFonts w:ascii="Times New Roman" w:hAnsi="Times New Roman" w:cs="Times New Roman"/>
                <w:sz w:val="24"/>
                <w:szCs w:val="24"/>
              </w:rPr>
              <w:instrText>HYPERLINK "https://prozorro.gov.ua/tender/UA-2023-09-14-001112-a"</w:instrText>
            </w:r>
            <w:r w:rsidR="00F346D2">
              <w:rPr>
                <w:rFonts w:ascii="Times New Roman" w:hAnsi="Times New Roman" w:cs="Times New Roman"/>
                <w:sz w:val="24"/>
                <w:szCs w:val="24"/>
              </w:rPr>
            </w:r>
            <w:r w:rsidR="00E31014">
              <w:rPr>
                <w:rFonts w:ascii="Times New Roman" w:hAnsi="Times New Roman" w:cs="Times New Roman"/>
                <w:sz w:val="24"/>
                <w:szCs w:val="24"/>
              </w:rPr>
              <w:fldChar w:fldCharType="separate"/>
            </w:r>
            <w:r w:rsidR="00FF2BB7" w:rsidRPr="00E31014">
              <w:rPr>
                <w:rStyle w:val="a7"/>
                <w:rFonts w:ascii="Times New Roman" w:hAnsi="Times New Roman" w:cs="Times New Roman"/>
                <w:sz w:val="24"/>
                <w:szCs w:val="24"/>
              </w:rPr>
              <w:t>UA-2023-09-1</w:t>
            </w:r>
            <w:r w:rsidR="00FF2BB7" w:rsidRPr="00E31014">
              <w:rPr>
                <w:rStyle w:val="a7"/>
                <w:rFonts w:ascii="Times New Roman" w:hAnsi="Times New Roman" w:cs="Times New Roman"/>
                <w:sz w:val="24"/>
                <w:szCs w:val="24"/>
              </w:rPr>
              <w:t>4</w:t>
            </w:r>
            <w:r w:rsidR="00FF2BB7" w:rsidRPr="00E31014">
              <w:rPr>
                <w:rStyle w:val="a7"/>
                <w:rFonts w:ascii="Times New Roman" w:hAnsi="Times New Roman" w:cs="Times New Roman"/>
                <w:sz w:val="24"/>
                <w:szCs w:val="24"/>
              </w:rPr>
              <w:t>-0</w:t>
            </w:r>
            <w:r w:rsidR="00FF2BB7" w:rsidRPr="00E31014">
              <w:rPr>
                <w:rStyle w:val="a7"/>
                <w:rFonts w:ascii="Times New Roman" w:hAnsi="Times New Roman" w:cs="Times New Roman"/>
                <w:sz w:val="24"/>
                <w:szCs w:val="24"/>
              </w:rPr>
              <w:t>0</w:t>
            </w:r>
            <w:r w:rsidR="00FF2BB7" w:rsidRPr="00E31014">
              <w:rPr>
                <w:rStyle w:val="a7"/>
                <w:rFonts w:ascii="Times New Roman" w:hAnsi="Times New Roman" w:cs="Times New Roman"/>
                <w:sz w:val="24"/>
                <w:szCs w:val="24"/>
              </w:rPr>
              <w:t>1112-a</w:t>
            </w:r>
            <w:r w:rsidR="00E31014">
              <w:rPr>
                <w:rFonts w:ascii="Times New Roman" w:hAnsi="Times New Roman" w:cs="Times New Roman"/>
                <w:sz w:val="24"/>
                <w:szCs w:val="24"/>
              </w:rPr>
              <w:fldChar w:fldCharType="end"/>
            </w:r>
          </w:p>
          <w:p w14:paraId="10CAAAC3" w14:textId="77777777" w:rsidR="00C47C4C" w:rsidRPr="00437E05" w:rsidRDefault="00C47C4C" w:rsidP="00F674FD">
            <w:pPr>
              <w:jc w:val="center"/>
              <w:rPr>
                <w:rFonts w:ascii="Times New Roman" w:hAnsi="Times New Roman" w:cs="Times New Roman"/>
                <w:sz w:val="24"/>
                <w:szCs w:val="24"/>
              </w:rPr>
            </w:pPr>
          </w:p>
        </w:tc>
      </w:tr>
      <w:tr w:rsidR="00A43A3B" w:rsidRPr="00437E05" w14:paraId="735F9E97" w14:textId="77777777" w:rsidTr="00314D26">
        <w:tc>
          <w:tcPr>
            <w:tcW w:w="421" w:type="dxa"/>
          </w:tcPr>
          <w:p w14:paraId="7BF3DEAD" w14:textId="10F391F8" w:rsidR="00A43A3B" w:rsidRPr="00437E05" w:rsidRDefault="00F630D1" w:rsidP="00F674FD">
            <w:pPr>
              <w:jc w:val="center"/>
              <w:rPr>
                <w:rFonts w:ascii="Times New Roman" w:hAnsi="Times New Roman" w:cs="Times New Roman"/>
                <w:sz w:val="24"/>
                <w:szCs w:val="24"/>
              </w:rPr>
            </w:pPr>
            <w:r w:rsidRPr="00437E05">
              <w:rPr>
                <w:rFonts w:ascii="Times New Roman" w:hAnsi="Times New Roman" w:cs="Times New Roman"/>
                <w:sz w:val="24"/>
                <w:szCs w:val="24"/>
              </w:rPr>
              <w:t>4</w:t>
            </w:r>
          </w:p>
        </w:tc>
        <w:tc>
          <w:tcPr>
            <w:tcW w:w="6804" w:type="dxa"/>
          </w:tcPr>
          <w:p w14:paraId="603435C5" w14:textId="77777777" w:rsidR="00A43A3B" w:rsidRPr="00437E05" w:rsidRDefault="00A43A3B" w:rsidP="00A43A3B">
            <w:pPr>
              <w:rPr>
                <w:rFonts w:ascii="Times New Roman" w:hAnsi="Times New Roman" w:cs="Times New Roman"/>
                <w:b/>
                <w:bCs/>
                <w:sz w:val="24"/>
                <w:szCs w:val="24"/>
              </w:rPr>
            </w:pPr>
            <w:r w:rsidRPr="00437E05">
              <w:rPr>
                <w:rFonts w:ascii="Times New Roman" w:hAnsi="Times New Roman" w:cs="Times New Roman"/>
                <w:b/>
                <w:bCs/>
                <w:sz w:val="24"/>
                <w:szCs w:val="24"/>
              </w:rPr>
              <w:t>Процедура закупівлі:</w:t>
            </w:r>
          </w:p>
          <w:p w14:paraId="55B28C88" w14:textId="4DFFBE73" w:rsidR="00A43A3B" w:rsidRPr="00437E05" w:rsidRDefault="00A43A3B" w:rsidP="00A43A3B">
            <w:pPr>
              <w:rPr>
                <w:rFonts w:ascii="Times New Roman" w:hAnsi="Times New Roman" w:cs="Times New Roman"/>
                <w:sz w:val="24"/>
                <w:szCs w:val="24"/>
              </w:rPr>
            </w:pPr>
            <w:r w:rsidRPr="00437E05">
              <w:rPr>
                <w:rFonts w:ascii="Times New Roman" w:hAnsi="Times New Roman" w:cs="Times New Roman"/>
                <w:sz w:val="24"/>
                <w:szCs w:val="24"/>
              </w:rPr>
              <w:t>Посилання на експертні, нормативні, технічні та інші документи, що підтверджують наявність умов застосування процедури закупівлі:</w:t>
            </w:r>
          </w:p>
        </w:tc>
        <w:tc>
          <w:tcPr>
            <w:tcW w:w="7371" w:type="dxa"/>
          </w:tcPr>
          <w:p w14:paraId="3DC616A5" w14:textId="0EFE8070" w:rsidR="00A43A3B" w:rsidRPr="00437E05" w:rsidRDefault="00F630D1" w:rsidP="00314D26">
            <w:pPr>
              <w:jc w:val="both"/>
              <w:rPr>
                <w:rFonts w:ascii="Times New Roman" w:hAnsi="Times New Roman" w:cs="Times New Roman"/>
                <w:sz w:val="24"/>
                <w:szCs w:val="24"/>
              </w:rPr>
            </w:pPr>
            <w:r w:rsidRPr="00437E05">
              <w:rPr>
                <w:rFonts w:ascii="Times New Roman" w:hAnsi="Times New Roman" w:cs="Times New Roman"/>
                <w:sz w:val="24"/>
                <w:szCs w:val="24"/>
              </w:rPr>
              <w:t>Відповідно до вимог Закону України «Про публічні закупівлі» (далі — Закон)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w:t>
            </w:r>
          </w:p>
        </w:tc>
      </w:tr>
      <w:tr w:rsidR="00C47C4C" w:rsidRPr="00437E05" w14:paraId="0DD3B0C4" w14:textId="77777777" w:rsidTr="00314D26">
        <w:tc>
          <w:tcPr>
            <w:tcW w:w="421" w:type="dxa"/>
          </w:tcPr>
          <w:p w14:paraId="664F9664" w14:textId="36FB2ACF" w:rsidR="00C47C4C" w:rsidRPr="00437E05" w:rsidRDefault="00F630D1" w:rsidP="00F674FD">
            <w:pPr>
              <w:jc w:val="center"/>
              <w:rPr>
                <w:rFonts w:ascii="Times New Roman" w:hAnsi="Times New Roman" w:cs="Times New Roman"/>
                <w:sz w:val="24"/>
                <w:szCs w:val="24"/>
              </w:rPr>
            </w:pPr>
            <w:r w:rsidRPr="00437E05">
              <w:rPr>
                <w:rFonts w:ascii="Times New Roman" w:hAnsi="Times New Roman" w:cs="Times New Roman"/>
                <w:sz w:val="24"/>
                <w:szCs w:val="24"/>
              </w:rPr>
              <w:t>5</w:t>
            </w:r>
          </w:p>
        </w:tc>
        <w:tc>
          <w:tcPr>
            <w:tcW w:w="6804" w:type="dxa"/>
          </w:tcPr>
          <w:p w14:paraId="164954C5" w14:textId="70E10CFB" w:rsidR="00C47C4C" w:rsidRPr="00437E05" w:rsidRDefault="008F1307" w:rsidP="008F1307">
            <w:pP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 розміру бюджетного призначення:</w:t>
            </w:r>
          </w:p>
        </w:tc>
        <w:tc>
          <w:tcPr>
            <w:tcW w:w="7371" w:type="dxa"/>
          </w:tcPr>
          <w:p w14:paraId="1645C643" w14:textId="5D4BD11B" w:rsidR="00C47C4C" w:rsidRPr="00437E05" w:rsidRDefault="008F1307" w:rsidP="008F1307">
            <w:pPr>
              <w:rPr>
                <w:rFonts w:ascii="Times New Roman" w:hAnsi="Times New Roman" w:cs="Times New Roman"/>
                <w:sz w:val="24"/>
                <w:szCs w:val="24"/>
              </w:rPr>
            </w:pPr>
            <w:r w:rsidRPr="00437E05">
              <w:rPr>
                <w:rFonts w:ascii="Times New Roman" w:hAnsi="Times New Roman" w:cs="Times New Roman"/>
                <w:sz w:val="24"/>
                <w:szCs w:val="24"/>
              </w:rPr>
              <w:t>враховуючі обсяги кошторисних призначень на 2023 рік</w:t>
            </w:r>
          </w:p>
        </w:tc>
      </w:tr>
      <w:tr w:rsidR="008F1307" w:rsidRPr="00437E05" w14:paraId="4DA9B326" w14:textId="77777777" w:rsidTr="00314D26">
        <w:tc>
          <w:tcPr>
            <w:tcW w:w="421" w:type="dxa"/>
          </w:tcPr>
          <w:p w14:paraId="4808642D" w14:textId="6D6241E3" w:rsidR="008F1307" w:rsidRPr="00437E05" w:rsidRDefault="00F630D1" w:rsidP="008F1307">
            <w:pPr>
              <w:jc w:val="center"/>
              <w:rPr>
                <w:rFonts w:ascii="Times New Roman" w:hAnsi="Times New Roman" w:cs="Times New Roman"/>
                <w:sz w:val="24"/>
                <w:szCs w:val="24"/>
              </w:rPr>
            </w:pPr>
            <w:r w:rsidRPr="00437E05">
              <w:rPr>
                <w:rFonts w:ascii="Times New Roman" w:hAnsi="Times New Roman" w:cs="Times New Roman"/>
                <w:sz w:val="24"/>
                <w:szCs w:val="24"/>
              </w:rPr>
              <w:t>6</w:t>
            </w:r>
          </w:p>
        </w:tc>
        <w:tc>
          <w:tcPr>
            <w:tcW w:w="6804" w:type="dxa"/>
          </w:tcPr>
          <w:p w14:paraId="04F80059" w14:textId="133955ED" w:rsidR="008F1307" w:rsidRPr="00437E05" w:rsidRDefault="008F1307" w:rsidP="008F1307">
            <w:pPr>
              <w:rPr>
                <w:rFonts w:ascii="Times New Roman" w:hAnsi="Times New Roman" w:cs="Times New Roman"/>
                <w:sz w:val="24"/>
                <w:szCs w:val="24"/>
              </w:rPr>
            </w:pPr>
            <w:r w:rsidRPr="00437E05">
              <w:rPr>
                <w:rFonts w:ascii="Times New Roman" w:hAnsi="Times New Roman" w:cs="Times New Roman"/>
                <w:b/>
                <w:bCs/>
                <w:sz w:val="24"/>
                <w:szCs w:val="24"/>
              </w:rPr>
              <w:t xml:space="preserve">Очікувана вартість: </w:t>
            </w:r>
          </w:p>
        </w:tc>
        <w:tc>
          <w:tcPr>
            <w:tcW w:w="7371" w:type="dxa"/>
          </w:tcPr>
          <w:p w14:paraId="3931FC52" w14:textId="5A489826" w:rsidR="008F1307" w:rsidRPr="00437E05" w:rsidRDefault="008F1307" w:rsidP="008F1307">
            <w:pPr>
              <w:rPr>
                <w:rFonts w:ascii="Times New Roman" w:hAnsi="Times New Roman" w:cs="Times New Roman"/>
                <w:sz w:val="24"/>
                <w:szCs w:val="24"/>
              </w:rPr>
            </w:pPr>
            <w:r w:rsidRPr="00437E05">
              <w:rPr>
                <w:rFonts w:ascii="Times New Roman" w:hAnsi="Times New Roman" w:cs="Times New Roman"/>
                <w:sz w:val="24"/>
                <w:szCs w:val="24"/>
              </w:rPr>
              <w:t>8</w:t>
            </w:r>
            <w:r w:rsidR="003E67B9">
              <w:rPr>
                <w:rFonts w:ascii="Times New Roman" w:hAnsi="Times New Roman" w:cs="Times New Roman"/>
                <w:sz w:val="24"/>
                <w:szCs w:val="24"/>
                <w:lang w:val="en-US"/>
              </w:rPr>
              <w:t>5</w:t>
            </w:r>
            <w:r w:rsidRPr="00437E05">
              <w:rPr>
                <w:rFonts w:ascii="Times New Roman" w:hAnsi="Times New Roman" w:cs="Times New Roman"/>
                <w:sz w:val="24"/>
                <w:szCs w:val="24"/>
              </w:rPr>
              <w:t>0 000,00 грн з ПДВ</w:t>
            </w:r>
          </w:p>
        </w:tc>
      </w:tr>
      <w:tr w:rsidR="008F1307" w:rsidRPr="00437E05" w14:paraId="722F4096" w14:textId="77777777" w:rsidTr="00314D26">
        <w:tc>
          <w:tcPr>
            <w:tcW w:w="421" w:type="dxa"/>
          </w:tcPr>
          <w:p w14:paraId="61AE1979" w14:textId="5F17C456" w:rsidR="008F1307" w:rsidRPr="00437E05" w:rsidRDefault="00F630D1" w:rsidP="008F1307">
            <w:pPr>
              <w:jc w:val="center"/>
              <w:rPr>
                <w:rFonts w:ascii="Times New Roman" w:hAnsi="Times New Roman" w:cs="Times New Roman"/>
                <w:sz w:val="24"/>
                <w:szCs w:val="24"/>
              </w:rPr>
            </w:pPr>
            <w:r w:rsidRPr="00437E05">
              <w:rPr>
                <w:rFonts w:ascii="Times New Roman" w:hAnsi="Times New Roman" w:cs="Times New Roman"/>
                <w:sz w:val="24"/>
                <w:szCs w:val="24"/>
              </w:rPr>
              <w:t>7</w:t>
            </w:r>
          </w:p>
        </w:tc>
        <w:tc>
          <w:tcPr>
            <w:tcW w:w="6804" w:type="dxa"/>
          </w:tcPr>
          <w:p w14:paraId="6F142DF1" w14:textId="6BAE3DBB" w:rsidR="008F1307" w:rsidRPr="007A39B7" w:rsidRDefault="00D837ED" w:rsidP="00D837ED">
            <w:pPr>
              <w:rPr>
                <w:rFonts w:ascii="Times New Roman" w:hAnsi="Times New Roman" w:cs="Times New Roman"/>
                <w:sz w:val="24"/>
                <w:szCs w:val="24"/>
              </w:rPr>
            </w:pPr>
            <w:r w:rsidRPr="007A39B7">
              <w:rPr>
                <w:rFonts w:ascii="Times New Roman" w:hAnsi="Times New Roman" w:cs="Times New Roman"/>
                <w:b/>
                <w:bCs/>
                <w:sz w:val="24"/>
                <w:szCs w:val="24"/>
              </w:rPr>
              <w:t>Обґрунтування очікуваної вартості предмета закупівлі:</w:t>
            </w:r>
          </w:p>
        </w:tc>
        <w:tc>
          <w:tcPr>
            <w:tcW w:w="7371" w:type="dxa"/>
          </w:tcPr>
          <w:p w14:paraId="74336178" w14:textId="51A3B5C2" w:rsidR="008F1307" w:rsidRPr="007A39B7" w:rsidRDefault="00D837ED" w:rsidP="00F630D1">
            <w:pPr>
              <w:jc w:val="both"/>
              <w:rPr>
                <w:rFonts w:ascii="Times New Roman" w:hAnsi="Times New Roman" w:cs="Times New Roman"/>
                <w:sz w:val="24"/>
                <w:szCs w:val="24"/>
              </w:rPr>
            </w:pPr>
            <w:r w:rsidRPr="007A39B7">
              <w:rPr>
                <w:rFonts w:ascii="Times New Roman" w:hAnsi="Times New Roman" w:cs="Times New Roman"/>
                <w:sz w:val="24"/>
                <w:szCs w:val="24"/>
              </w:rPr>
              <w:t>Розрахунок очікуваної вартості предмета закупівлі проведено відповідно рекомендаціям Наказу Мінекономіки від</w:t>
            </w:r>
            <w:r w:rsidR="00437E05" w:rsidRPr="007A39B7">
              <w:rPr>
                <w:rFonts w:ascii="Times New Roman" w:hAnsi="Times New Roman" w:cs="Times New Roman"/>
                <w:sz w:val="24"/>
                <w:szCs w:val="24"/>
              </w:rPr>
              <w:t xml:space="preserve"> </w:t>
            </w:r>
            <w:r w:rsidRPr="007A39B7">
              <w:rPr>
                <w:rFonts w:ascii="Times New Roman" w:hAnsi="Times New Roman" w:cs="Times New Roman"/>
                <w:sz w:val="24"/>
                <w:szCs w:val="24"/>
              </w:rPr>
              <w:t>18.02.2020р. № 275 «Про затвердження примірної методики визначення очікуваної вартості предмета закупівлі» з урахуванням інформації, отриманої з Інтернет-ресурсів.</w:t>
            </w:r>
          </w:p>
        </w:tc>
      </w:tr>
      <w:tr w:rsidR="005872E4" w:rsidRPr="00437E05" w14:paraId="19B75133" w14:textId="77777777" w:rsidTr="00314D26">
        <w:tc>
          <w:tcPr>
            <w:tcW w:w="421" w:type="dxa"/>
          </w:tcPr>
          <w:p w14:paraId="7C6E2ADC" w14:textId="28B2D20B" w:rsidR="005872E4" w:rsidRPr="00437E05" w:rsidRDefault="005872E4" w:rsidP="008F1307">
            <w:pPr>
              <w:jc w:val="center"/>
              <w:rPr>
                <w:rFonts w:ascii="Times New Roman" w:hAnsi="Times New Roman" w:cs="Times New Roman"/>
                <w:sz w:val="24"/>
                <w:szCs w:val="24"/>
              </w:rPr>
            </w:pPr>
            <w:r w:rsidRPr="00437E05">
              <w:rPr>
                <w:rFonts w:ascii="Times New Roman" w:hAnsi="Times New Roman" w:cs="Times New Roman"/>
                <w:sz w:val="24"/>
                <w:szCs w:val="24"/>
              </w:rPr>
              <w:lastRenderedPageBreak/>
              <w:t>8</w:t>
            </w:r>
          </w:p>
        </w:tc>
        <w:tc>
          <w:tcPr>
            <w:tcW w:w="6804" w:type="dxa"/>
          </w:tcPr>
          <w:p w14:paraId="296F2FB6" w14:textId="6F332E03" w:rsidR="005872E4" w:rsidRPr="00437E05" w:rsidRDefault="005872E4" w:rsidP="00D837ED">
            <w:pPr>
              <w:rPr>
                <w:rFonts w:ascii="Times New Roman" w:hAnsi="Times New Roman" w:cs="Times New Roman"/>
                <w:b/>
                <w:bCs/>
                <w:sz w:val="24"/>
                <w:szCs w:val="24"/>
              </w:rPr>
            </w:pPr>
            <w:r w:rsidRPr="00437E05">
              <w:rPr>
                <w:rFonts w:ascii="Times New Roman" w:hAnsi="Times New Roman" w:cs="Times New Roman"/>
                <w:b/>
                <w:bCs/>
                <w:sz w:val="24"/>
                <w:szCs w:val="24"/>
              </w:rPr>
              <w:t>Кількість закупівлі:</w:t>
            </w:r>
          </w:p>
        </w:tc>
        <w:tc>
          <w:tcPr>
            <w:tcW w:w="7371" w:type="dxa"/>
          </w:tcPr>
          <w:p w14:paraId="29862146" w14:textId="62847C27" w:rsidR="005872E4" w:rsidRPr="00FF2BB7" w:rsidRDefault="00FF2BB7" w:rsidP="00F630D1">
            <w:pPr>
              <w:jc w:val="both"/>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шт.</w:t>
            </w:r>
          </w:p>
        </w:tc>
      </w:tr>
      <w:tr w:rsidR="00FF2BB7" w:rsidRPr="00437E05" w14:paraId="09454390" w14:textId="77777777" w:rsidTr="00314D26">
        <w:tc>
          <w:tcPr>
            <w:tcW w:w="421" w:type="dxa"/>
          </w:tcPr>
          <w:p w14:paraId="319BDE5D" w14:textId="2C3D4DF8" w:rsidR="00FF2BB7" w:rsidRPr="00437E05" w:rsidRDefault="00FF2BB7" w:rsidP="008F1307">
            <w:pPr>
              <w:jc w:val="center"/>
              <w:rPr>
                <w:rFonts w:ascii="Times New Roman" w:hAnsi="Times New Roman" w:cs="Times New Roman"/>
                <w:sz w:val="24"/>
                <w:szCs w:val="24"/>
              </w:rPr>
            </w:pPr>
            <w:r>
              <w:rPr>
                <w:rFonts w:ascii="Times New Roman" w:hAnsi="Times New Roman" w:cs="Times New Roman"/>
                <w:sz w:val="24"/>
                <w:szCs w:val="24"/>
              </w:rPr>
              <w:t>9</w:t>
            </w:r>
          </w:p>
        </w:tc>
        <w:tc>
          <w:tcPr>
            <w:tcW w:w="6804" w:type="dxa"/>
          </w:tcPr>
          <w:p w14:paraId="43AE68BB" w14:textId="5E477876" w:rsidR="00FF2BB7" w:rsidRPr="00437E05" w:rsidRDefault="00FF2BB7" w:rsidP="00D837ED">
            <w:pPr>
              <w:rPr>
                <w:rFonts w:ascii="Times New Roman" w:hAnsi="Times New Roman" w:cs="Times New Roman"/>
                <w:b/>
                <w:bCs/>
                <w:sz w:val="24"/>
                <w:szCs w:val="24"/>
              </w:rPr>
            </w:pPr>
            <w:r w:rsidRPr="007A39B7">
              <w:rPr>
                <w:rFonts w:ascii="Times New Roman" w:eastAsia="Arial" w:hAnsi="Times New Roman" w:cs="Times New Roman"/>
                <w:b/>
                <w:bCs/>
                <w:color w:val="0D0D0D"/>
                <w:shd w:val="clear" w:color="auto" w:fill="FFFFFF"/>
                <w:lang w:eastAsia="ru-RU"/>
              </w:rPr>
              <w:t>Строк поставки товару:</w:t>
            </w:r>
          </w:p>
        </w:tc>
        <w:tc>
          <w:tcPr>
            <w:tcW w:w="7371" w:type="dxa"/>
          </w:tcPr>
          <w:p w14:paraId="14F4AAB3" w14:textId="731E0A77" w:rsidR="00FF2BB7" w:rsidRDefault="00FF2BB7" w:rsidP="00FF2BB7">
            <w:pPr>
              <w:widowControl w:val="0"/>
              <w:ind w:right="113"/>
              <w:jc w:val="both"/>
              <w:rPr>
                <w:rFonts w:ascii="Times New Roman" w:hAnsi="Times New Roman" w:cs="Times New Roman"/>
                <w:sz w:val="24"/>
                <w:szCs w:val="24"/>
                <w:lang w:val="en-US"/>
              </w:rPr>
            </w:pPr>
            <w:r w:rsidRPr="007A39B7">
              <w:rPr>
                <w:rFonts w:ascii="Times New Roman" w:eastAsia="Arial" w:hAnsi="Times New Roman" w:cs="Times New Roman"/>
                <w:color w:val="0D0D0D"/>
                <w:shd w:val="clear" w:color="auto" w:fill="FFFFFF"/>
                <w:lang w:eastAsia="ru-RU"/>
              </w:rPr>
              <w:t xml:space="preserve">до 20.12. 2023 року. </w:t>
            </w:r>
          </w:p>
        </w:tc>
      </w:tr>
      <w:tr w:rsidR="00FF2BB7" w:rsidRPr="00437E05" w14:paraId="20C64BE9" w14:textId="77777777" w:rsidTr="00314D26">
        <w:tc>
          <w:tcPr>
            <w:tcW w:w="421" w:type="dxa"/>
          </w:tcPr>
          <w:p w14:paraId="250CA017" w14:textId="2590C107" w:rsidR="00FF2BB7" w:rsidRDefault="00FF2BB7" w:rsidP="008F1307">
            <w:pPr>
              <w:jc w:val="center"/>
              <w:rPr>
                <w:rFonts w:ascii="Times New Roman" w:hAnsi="Times New Roman" w:cs="Times New Roman"/>
                <w:sz w:val="24"/>
                <w:szCs w:val="24"/>
              </w:rPr>
            </w:pPr>
            <w:r>
              <w:rPr>
                <w:rFonts w:ascii="Times New Roman" w:hAnsi="Times New Roman" w:cs="Times New Roman"/>
                <w:sz w:val="24"/>
                <w:szCs w:val="24"/>
              </w:rPr>
              <w:t>10</w:t>
            </w:r>
          </w:p>
        </w:tc>
        <w:tc>
          <w:tcPr>
            <w:tcW w:w="6804" w:type="dxa"/>
          </w:tcPr>
          <w:p w14:paraId="706662C0" w14:textId="301D67A6" w:rsidR="00FF2BB7" w:rsidRPr="007A39B7" w:rsidRDefault="00FF2BB7" w:rsidP="00FF2BB7">
            <w:pPr>
              <w:widowControl w:val="0"/>
              <w:ind w:right="113"/>
              <w:jc w:val="both"/>
              <w:rPr>
                <w:rFonts w:ascii="Times New Roman" w:eastAsia="Arial" w:hAnsi="Times New Roman" w:cs="Times New Roman"/>
                <w:b/>
                <w:bCs/>
                <w:color w:val="0D0D0D"/>
                <w:shd w:val="clear" w:color="auto" w:fill="FFFFFF"/>
                <w:lang w:eastAsia="ru-RU"/>
              </w:rPr>
            </w:pPr>
            <w:r w:rsidRPr="007A39B7">
              <w:rPr>
                <w:rFonts w:ascii="Times New Roman" w:eastAsia="Arial" w:hAnsi="Times New Roman" w:cs="Times New Roman"/>
                <w:b/>
                <w:bCs/>
                <w:color w:val="0D0D0D"/>
                <w:shd w:val="clear" w:color="auto" w:fill="FFFFFF"/>
                <w:lang w:eastAsia="ru-RU"/>
              </w:rPr>
              <w:t xml:space="preserve">Місце поставки товару: </w:t>
            </w:r>
          </w:p>
        </w:tc>
        <w:tc>
          <w:tcPr>
            <w:tcW w:w="7371" w:type="dxa"/>
          </w:tcPr>
          <w:p w14:paraId="22E75C22" w14:textId="3D312266" w:rsidR="00FF2BB7" w:rsidRPr="007A39B7" w:rsidRDefault="00FF2BB7" w:rsidP="00FF2BB7">
            <w:pPr>
              <w:widowControl w:val="0"/>
              <w:ind w:right="113"/>
              <w:jc w:val="both"/>
              <w:rPr>
                <w:rFonts w:ascii="Times New Roman" w:eastAsia="Arial" w:hAnsi="Times New Roman" w:cs="Times New Roman"/>
                <w:color w:val="0D0D0D"/>
                <w:shd w:val="clear" w:color="auto" w:fill="FFFFFF"/>
                <w:lang w:eastAsia="ru-RU"/>
              </w:rPr>
            </w:pPr>
            <w:r w:rsidRPr="007A39B7">
              <w:rPr>
                <w:rFonts w:ascii="Times New Roman" w:eastAsia="Arial" w:hAnsi="Times New Roman" w:cs="Times New Roman"/>
                <w:color w:val="0D0D0D"/>
                <w:shd w:val="clear" w:color="auto" w:fill="FFFFFF"/>
                <w:lang w:eastAsia="ru-RU"/>
              </w:rPr>
              <w:t>м. Київ, вул. Золотоворітська, буд. 6, корпус В</w:t>
            </w:r>
          </w:p>
        </w:tc>
      </w:tr>
      <w:tr w:rsidR="00D837ED" w:rsidRPr="00437E05" w14:paraId="03736D77" w14:textId="77777777" w:rsidTr="00314D26">
        <w:tc>
          <w:tcPr>
            <w:tcW w:w="421" w:type="dxa"/>
          </w:tcPr>
          <w:p w14:paraId="4B333E61" w14:textId="57828589" w:rsidR="00D837ED" w:rsidRPr="00437E05" w:rsidRDefault="00FF2BB7" w:rsidP="008F1307">
            <w:pPr>
              <w:jc w:val="center"/>
              <w:rPr>
                <w:rFonts w:ascii="Times New Roman" w:hAnsi="Times New Roman" w:cs="Times New Roman"/>
                <w:sz w:val="24"/>
                <w:szCs w:val="24"/>
              </w:rPr>
            </w:pPr>
            <w:r>
              <w:rPr>
                <w:rFonts w:ascii="Times New Roman" w:hAnsi="Times New Roman" w:cs="Times New Roman"/>
                <w:sz w:val="24"/>
                <w:szCs w:val="24"/>
              </w:rPr>
              <w:t>11</w:t>
            </w:r>
          </w:p>
        </w:tc>
        <w:tc>
          <w:tcPr>
            <w:tcW w:w="6804" w:type="dxa"/>
          </w:tcPr>
          <w:p w14:paraId="07ECF6DE" w14:textId="58BBFC06" w:rsidR="00D837ED" w:rsidRPr="00437E05" w:rsidRDefault="00F630D1" w:rsidP="00D837ED">
            <w:pP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 технічних та якісних характеристик предмета закупівлі:</w:t>
            </w:r>
          </w:p>
        </w:tc>
        <w:tc>
          <w:tcPr>
            <w:tcW w:w="7371" w:type="dxa"/>
          </w:tcPr>
          <w:p w14:paraId="28C75E25" w14:textId="094A5376" w:rsidR="00D837ED" w:rsidRPr="00437E05" w:rsidRDefault="005872E4" w:rsidP="00D837ED">
            <w:pPr>
              <w:rPr>
                <w:rFonts w:ascii="Times New Roman" w:hAnsi="Times New Roman" w:cs="Times New Roman"/>
                <w:sz w:val="24"/>
                <w:szCs w:val="24"/>
              </w:rPr>
            </w:pPr>
            <w:r w:rsidRPr="00437E05">
              <w:rPr>
                <w:rFonts w:ascii="Times New Roman" w:hAnsi="Times New Roman" w:cs="Times New Roman"/>
                <w:sz w:val="24"/>
                <w:szCs w:val="24"/>
              </w:rPr>
              <w:t>Замовник прийняв рішення стосовно застосування таких технічних та якісних характеристик предмета закупівлі:</w:t>
            </w:r>
          </w:p>
        </w:tc>
      </w:tr>
      <w:tr w:rsidR="005872E4" w:rsidRPr="00437E05" w14:paraId="4EEEFEF7" w14:textId="77777777" w:rsidTr="001C7684">
        <w:tc>
          <w:tcPr>
            <w:tcW w:w="14596" w:type="dxa"/>
            <w:gridSpan w:val="3"/>
          </w:tcPr>
          <w:p w14:paraId="11807BA8" w14:textId="77777777" w:rsidR="007A39B7" w:rsidRPr="007A39B7" w:rsidRDefault="007A39B7" w:rsidP="007A39B7">
            <w:pPr>
              <w:widowControl w:val="0"/>
              <w:ind w:right="113"/>
              <w:jc w:val="both"/>
              <w:rPr>
                <w:rFonts w:ascii="Times New Roman" w:eastAsia="Arial" w:hAnsi="Times New Roman" w:cs="Times New Roman"/>
                <w:color w:val="0D0D0D"/>
                <w:shd w:val="clear" w:color="auto" w:fill="FFFFFF"/>
                <w:lang w:eastAsia="ru-RU"/>
              </w:rPr>
            </w:pPr>
          </w:p>
          <w:p w14:paraId="09149667" w14:textId="77777777" w:rsidR="007A39B7" w:rsidRPr="007A39B7" w:rsidRDefault="007A39B7" w:rsidP="007A39B7">
            <w:pPr>
              <w:ind w:firstLine="426"/>
              <w:contextualSpacing/>
              <w:jc w:val="both"/>
              <w:rPr>
                <w:rFonts w:ascii="Times New Roman" w:eastAsia="Times New Roman" w:hAnsi="Times New Roman" w:cs="Times New Roman"/>
                <w:b/>
                <w:bCs/>
                <w:szCs w:val="20"/>
                <w:lang w:eastAsia="uk-UA"/>
              </w:rPr>
            </w:pPr>
            <w:r w:rsidRPr="007A39B7">
              <w:rPr>
                <w:rFonts w:ascii="Times New Roman" w:eastAsia="Times New Roman" w:hAnsi="Times New Roman" w:cs="Times New Roman"/>
                <w:b/>
                <w:bCs/>
                <w:snapToGrid w:val="0"/>
                <w:sz w:val="24"/>
                <w:szCs w:val="20"/>
                <w:lang w:eastAsia="ru-RU"/>
              </w:rPr>
              <w:t>На виконання вимог абзацу 2 частини 3 та частини 4 статті 23 Закону, після посилання у цьому додатку на стандартні характеристики чи технічні регламенти та умови, вимоги, умовні позначення та термінологію,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чи конкретну торгівельну марку чи фірму, патент, конструкцію або тип предмета закупівлі, джерело його походження або виробника слід доповнити та читати і сприймати з виразом «або еквівалент».</w:t>
            </w:r>
          </w:p>
          <w:p w14:paraId="75DAB3FF" w14:textId="77777777" w:rsidR="007A39B7" w:rsidRPr="007A39B7" w:rsidRDefault="007A39B7" w:rsidP="007A39B7">
            <w:pPr>
              <w:contextualSpacing/>
              <w:rPr>
                <w:rFonts w:ascii="Times New Roman" w:eastAsia="Times New Roman" w:hAnsi="Times New Roman" w:cs="Times New Roman"/>
                <w:snapToGrid w:val="0"/>
                <w:sz w:val="24"/>
                <w:szCs w:val="24"/>
                <w:highlight w:val="yellow"/>
                <w:lang w:eastAsia="uk-UA"/>
              </w:rPr>
            </w:pPr>
          </w:p>
          <w:p w14:paraId="623841E2" w14:textId="77777777" w:rsidR="007A39B7" w:rsidRPr="007A39B7" w:rsidRDefault="007A39B7" w:rsidP="007A39B7">
            <w:pPr>
              <w:numPr>
                <w:ilvl w:val="0"/>
                <w:numId w:val="3"/>
              </w:numPr>
              <w:suppressAutoHyphens/>
              <w:ind w:left="357" w:hanging="357"/>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Загальні вимоги</w:t>
            </w:r>
          </w:p>
          <w:p w14:paraId="23446BDF"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Обладнання, що пропонується Учасником, повинно відповідати наступним загальним умовам:</w:t>
            </w:r>
          </w:p>
          <w:p w14:paraId="12EB0BA7"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запропоноване обладнання та складові апаратні модулі (комплектуючі) мають бути новими – такими, які не були у використанні;</w:t>
            </w:r>
          </w:p>
          <w:p w14:paraId="5E2ABDA3"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запропонована комплектація предмету закупівлі має цілком складатися з компонентів, що входять у асортимент комплектуючих, які виробник</w:t>
            </w:r>
            <w:bookmarkStart w:id="0" w:name="_Ref108438536"/>
            <w:r w:rsidRPr="007A39B7">
              <w:rPr>
                <w:rFonts w:ascii="Times New Roman" w:eastAsia="Times New Roman" w:hAnsi="Times New Roman" w:cs="Times New Roman"/>
                <w:sz w:val="24"/>
                <w:szCs w:val="24"/>
                <w:vertAlign w:val="superscript"/>
                <w:lang w:eastAsia="ru-RU"/>
              </w:rPr>
              <w:footnoteReference w:id="1"/>
            </w:r>
            <w:bookmarkEnd w:id="0"/>
            <w:r w:rsidRPr="007A39B7">
              <w:rPr>
                <w:rFonts w:ascii="Times New Roman" w:eastAsia="Times New Roman" w:hAnsi="Times New Roman" w:cs="Times New Roman"/>
                <w:sz w:val="24"/>
                <w:szCs w:val="24"/>
                <w:lang w:eastAsia="ru-RU"/>
              </w:rPr>
              <w:t xml:space="preserve"> запропонованого обладнання підтримує для цієї системи; </w:t>
            </w:r>
          </w:p>
          <w:p w14:paraId="28BA0A5B"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виробник - постачальник запропонованого обладнання мусить мати спеціалізований сайт підтримки користувачів з доступом до інформації про статус гарантії обладнання;</w:t>
            </w:r>
          </w:p>
          <w:p w14:paraId="042C0D5E" w14:textId="77777777" w:rsidR="007A39B7" w:rsidRPr="007A39B7" w:rsidRDefault="007A39B7" w:rsidP="007A39B7">
            <w:pPr>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має бути безкоштовна локальна (з українським номером) телефонна лінія «гарячої підтримки» від виробника-постачальника запропонованого обладнання;</w:t>
            </w:r>
          </w:p>
          <w:p w14:paraId="29098D7E"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все запропоноване обладнання, призначене для встановлення у стійку (серверну шафу), має бути укомплектоване кабелями підключення до джерела електроживлення відповідно до кількості наявних блоків живлення у запропонованої конфігурації обладнання; роз’єми типу С13-С14, кабель довжиною не менш 1,8м;</w:t>
            </w:r>
          </w:p>
          <w:p w14:paraId="6E85D30B"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все запропоноване обладнання та програмне забезпечення за гарантійними, якісними та кількісними характеристиками повинно забезпечувати показники не гірше тих, що викладені у даному та наступних розділах.</w:t>
            </w:r>
          </w:p>
          <w:p w14:paraId="24C5AF9E" w14:textId="5BEECE6C" w:rsidR="005872E4" w:rsidRPr="00437E05" w:rsidRDefault="005872E4" w:rsidP="003E67B9">
            <w:pPr>
              <w:widowControl w:val="0"/>
              <w:overflowPunct w:val="0"/>
              <w:autoSpaceDE w:val="0"/>
              <w:autoSpaceDN w:val="0"/>
              <w:adjustRightInd w:val="0"/>
              <w:contextualSpacing/>
              <w:jc w:val="both"/>
              <w:textAlignment w:val="baseline"/>
              <w:rPr>
                <w:rFonts w:ascii="Times New Roman" w:hAnsi="Times New Roman" w:cs="Times New Roman"/>
                <w:sz w:val="24"/>
                <w:szCs w:val="24"/>
              </w:rPr>
            </w:pPr>
          </w:p>
        </w:tc>
      </w:tr>
    </w:tbl>
    <w:p w14:paraId="141404FB" w14:textId="77777777" w:rsidR="007A39B7" w:rsidRDefault="007A39B7" w:rsidP="006066FD">
      <w:pPr>
        <w:spacing w:after="0"/>
        <w:rPr>
          <w:rFonts w:ascii="Times New Roman" w:hAnsi="Times New Roman" w:cs="Times New Roman"/>
          <w:sz w:val="24"/>
          <w:szCs w:val="24"/>
        </w:rPr>
        <w:sectPr w:rsidR="007A39B7" w:rsidSect="00231DDA">
          <w:pgSz w:w="16838" w:h="11906" w:orient="landscape"/>
          <w:pgMar w:top="1701" w:right="1134" w:bottom="709" w:left="1134" w:header="708" w:footer="708" w:gutter="0"/>
          <w:cols w:space="708"/>
          <w:docGrid w:linePitch="360"/>
        </w:sectPr>
      </w:pPr>
    </w:p>
    <w:tbl>
      <w:tblPr>
        <w:tblStyle w:val="a3"/>
        <w:tblW w:w="0" w:type="auto"/>
        <w:tblLook w:val="04A0" w:firstRow="1" w:lastRow="0" w:firstColumn="1" w:lastColumn="0" w:noHBand="0" w:noVBand="1"/>
      </w:tblPr>
      <w:tblGrid>
        <w:gridCol w:w="14560"/>
      </w:tblGrid>
      <w:tr w:rsidR="007A39B7" w14:paraId="30A1E0C3" w14:textId="77777777" w:rsidTr="007A39B7">
        <w:tc>
          <w:tcPr>
            <w:tcW w:w="14560" w:type="dxa"/>
          </w:tcPr>
          <w:p w14:paraId="4D385B60" w14:textId="77777777" w:rsidR="007A39B7" w:rsidRPr="007A39B7" w:rsidRDefault="007A39B7" w:rsidP="007A39B7">
            <w:pPr>
              <w:numPr>
                <w:ilvl w:val="1"/>
                <w:numId w:val="3"/>
              </w:numPr>
              <w:suppressAutoHyphens/>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lastRenderedPageBreak/>
              <w:t>Загальні вимоги до серверного обладнання</w:t>
            </w:r>
          </w:p>
          <w:p w14:paraId="0616571B"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Обладнання, що пропонується Учасником у цьому розділі, повинно відповідати наступним загальним умовам:</w:t>
            </w:r>
          </w:p>
          <w:p w14:paraId="2218697F"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повинен бути новим (2023 року виготовлення) і таким, що не був у використанні;</w:t>
            </w:r>
          </w:p>
          <w:p w14:paraId="1D93F9F1"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якість Товару повинна відповідати державним стандартам, технічним регламентам та законодавству щодо показників якості такого роду/виду товарів;</w:t>
            </w:r>
          </w:p>
          <w:p w14:paraId="50E84CFF"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має бути таким, для якого станом на дату оголошення торгів виробник-постачальник товару не анонсував дату припинення продажів («</w:t>
            </w:r>
            <w:proofErr w:type="spellStart"/>
            <w:r w:rsidRPr="007A39B7">
              <w:rPr>
                <w:rFonts w:ascii="Times New Roman" w:eastAsia="Times New Roman" w:hAnsi="Times New Roman" w:cs="Times New Roman"/>
                <w:sz w:val="24"/>
                <w:szCs w:val="24"/>
                <w:lang w:eastAsia="ru-RU"/>
              </w:rPr>
              <w:t>End</w:t>
            </w:r>
            <w:proofErr w:type="spellEnd"/>
            <w:r w:rsidRPr="007A39B7">
              <w:rPr>
                <w:rFonts w:ascii="Times New Roman" w:eastAsia="Times New Roman" w:hAnsi="Times New Roman" w:cs="Times New Roman"/>
                <w:sz w:val="24"/>
                <w:szCs w:val="24"/>
                <w:lang w:eastAsia="ru-RU"/>
              </w:rPr>
              <w:t xml:space="preserve"> </w:t>
            </w:r>
            <w:proofErr w:type="spellStart"/>
            <w:r w:rsidRPr="007A39B7">
              <w:rPr>
                <w:rFonts w:ascii="Times New Roman" w:eastAsia="Times New Roman" w:hAnsi="Times New Roman" w:cs="Times New Roman"/>
                <w:sz w:val="24"/>
                <w:szCs w:val="24"/>
                <w:lang w:eastAsia="ru-RU"/>
              </w:rPr>
              <w:t>of</w:t>
            </w:r>
            <w:proofErr w:type="spellEnd"/>
            <w:r w:rsidRPr="007A39B7">
              <w:rPr>
                <w:rFonts w:ascii="Times New Roman" w:eastAsia="Times New Roman" w:hAnsi="Times New Roman" w:cs="Times New Roman"/>
                <w:sz w:val="24"/>
                <w:szCs w:val="24"/>
                <w:lang w:eastAsia="ru-RU"/>
              </w:rPr>
              <w:t xml:space="preserve"> </w:t>
            </w:r>
            <w:proofErr w:type="spellStart"/>
            <w:r w:rsidRPr="007A39B7">
              <w:rPr>
                <w:rFonts w:ascii="Times New Roman" w:eastAsia="Times New Roman" w:hAnsi="Times New Roman" w:cs="Times New Roman"/>
                <w:sz w:val="24"/>
                <w:szCs w:val="24"/>
                <w:lang w:eastAsia="ru-RU"/>
              </w:rPr>
              <w:t>sale</w:t>
            </w:r>
            <w:proofErr w:type="spellEnd"/>
            <w:r w:rsidRPr="007A39B7">
              <w:rPr>
                <w:rFonts w:ascii="Times New Roman" w:eastAsia="Times New Roman" w:hAnsi="Times New Roman" w:cs="Times New Roman"/>
                <w:sz w:val="24"/>
                <w:szCs w:val="24"/>
                <w:lang w:eastAsia="ru-RU"/>
              </w:rPr>
              <w:t>»);</w:t>
            </w:r>
          </w:p>
          <w:p w14:paraId="7ADEA02F"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 xml:space="preserve">має покриватися гарантією від виробника-постачальника з авансовою заміною обладнання на місці встановлення,  термін дії гарантії та </w:t>
            </w:r>
            <w:r w:rsidRPr="007A39B7">
              <w:rPr>
                <w:rFonts w:ascii="Times New Roman" w:eastAsia="Times New Roman" w:hAnsi="Times New Roman" w:cs="Times New Roman"/>
                <w:sz w:val="24"/>
                <w:szCs w:val="24"/>
                <w:lang w:eastAsia="ar-SA"/>
              </w:rPr>
              <w:t xml:space="preserve">технічної </w:t>
            </w:r>
            <w:r w:rsidRPr="007A39B7">
              <w:rPr>
                <w:rFonts w:ascii="Times New Roman" w:eastAsia="Times New Roman" w:hAnsi="Times New Roman" w:cs="Times New Roman"/>
                <w:sz w:val="24"/>
                <w:szCs w:val="24"/>
                <w:lang w:eastAsia="ru-RU"/>
              </w:rPr>
              <w:t>підтримки — не менше 3 років;</w:t>
            </w:r>
          </w:p>
          <w:p w14:paraId="49B42B34" w14:textId="77777777" w:rsidR="007A39B7" w:rsidRPr="007A39B7" w:rsidRDefault="007A39B7" w:rsidP="007A39B7">
            <w:pPr>
              <w:widowControl w:val="0"/>
              <w:numPr>
                <w:ilvl w:val="0"/>
                <w:numId w:val="4"/>
              </w:numPr>
              <w:suppressAutoHyphens/>
              <w:ind w:left="426"/>
              <w:contextualSpacing/>
              <w:jc w:val="both"/>
              <w:rPr>
                <w:rFonts w:ascii="Times New Roman" w:eastAsia="Times New Roman" w:hAnsi="Times New Roman" w:cs="Times New Roman"/>
                <w:sz w:val="24"/>
                <w:szCs w:val="24"/>
                <w:lang w:eastAsia="ru-RU"/>
              </w:rPr>
            </w:pPr>
            <w:r w:rsidRPr="007A39B7">
              <w:rPr>
                <w:rFonts w:ascii="Times New Roman" w:eastAsia="Times New Roman" w:hAnsi="Times New Roman" w:cs="Times New Roman"/>
                <w:sz w:val="24"/>
                <w:szCs w:val="24"/>
                <w:lang w:eastAsia="ru-RU"/>
              </w:rPr>
              <w:t>гарантійне обслуговування повинно проводитися зазначеними Учасником сервісними центрами авторизованими виробником чи офіційним представником виробника (дистриб’ютором).</w:t>
            </w:r>
          </w:p>
          <w:p w14:paraId="1FEA34BF" w14:textId="77777777" w:rsidR="007A39B7" w:rsidRPr="007A39B7" w:rsidRDefault="007A39B7" w:rsidP="007A39B7">
            <w:pPr>
              <w:widowControl w:val="0"/>
              <w:suppressAutoHyphens/>
              <w:ind w:left="426"/>
              <w:contextualSpacing/>
              <w:jc w:val="both"/>
              <w:rPr>
                <w:rFonts w:ascii="Times New Roman" w:eastAsia="Times New Roman" w:hAnsi="Times New Roman" w:cs="Times New Roman"/>
                <w:sz w:val="24"/>
                <w:szCs w:val="24"/>
                <w:lang w:eastAsia="ru-RU"/>
              </w:rPr>
            </w:pPr>
          </w:p>
          <w:p w14:paraId="76F64878" w14:textId="77777777" w:rsidR="007A39B7" w:rsidRPr="007A39B7" w:rsidRDefault="007A39B7" w:rsidP="007A39B7">
            <w:pPr>
              <w:widowControl w:val="0"/>
              <w:suppressAutoHyphens/>
              <w:ind w:left="426"/>
              <w:contextualSpacing/>
              <w:jc w:val="both"/>
              <w:rPr>
                <w:rFonts w:ascii="Times New Roman" w:eastAsia="Times New Roman" w:hAnsi="Times New Roman" w:cs="Times New Roman"/>
                <w:sz w:val="24"/>
                <w:szCs w:val="24"/>
                <w:lang w:eastAsia="ru-RU"/>
              </w:rPr>
            </w:pPr>
          </w:p>
          <w:p w14:paraId="61470F90" w14:textId="77777777" w:rsidR="007A39B7" w:rsidRPr="007A39B7" w:rsidRDefault="007A39B7" w:rsidP="007A39B7">
            <w:pPr>
              <w:numPr>
                <w:ilvl w:val="1"/>
                <w:numId w:val="3"/>
              </w:numPr>
              <w:suppressAutoHyphens/>
              <w:ind w:left="788" w:hanging="431"/>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Детальні технічні вимоги до серверного обладнання</w:t>
            </w:r>
          </w:p>
          <w:p w14:paraId="7E2CFDC5" w14:textId="77777777" w:rsidR="007A39B7" w:rsidRPr="007A39B7" w:rsidRDefault="007A39B7" w:rsidP="007A39B7">
            <w:pPr>
              <w:suppressAutoHyphens/>
              <w:ind w:left="788" w:right="282"/>
              <w:contextualSpacing/>
              <w:jc w:val="right"/>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Таблиця 1.</w:t>
            </w:r>
          </w:p>
          <w:tbl>
            <w:tblPr>
              <w:tblW w:w="13767" w:type="dxa"/>
              <w:tblCellMar>
                <w:left w:w="10" w:type="dxa"/>
                <w:right w:w="10" w:type="dxa"/>
              </w:tblCellMar>
              <w:tblLook w:val="04A0" w:firstRow="1" w:lastRow="0" w:firstColumn="1" w:lastColumn="0" w:noHBand="0" w:noVBand="1"/>
            </w:tblPr>
            <w:tblGrid>
              <w:gridCol w:w="426"/>
              <w:gridCol w:w="1984"/>
              <w:gridCol w:w="11357"/>
            </w:tblGrid>
            <w:tr w:rsidR="007A39B7" w:rsidRPr="007A39B7" w14:paraId="75F02F7E"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1F107571"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 з/п</w:t>
                  </w:r>
                </w:p>
              </w:tc>
              <w:tc>
                <w:tcPr>
                  <w:tcW w:w="1984"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hideMark/>
                </w:tcPr>
                <w:p w14:paraId="557621BA"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Характеристика</w:t>
                  </w:r>
                </w:p>
              </w:tc>
              <w:tc>
                <w:tcPr>
                  <w:tcW w:w="11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2FF8C6D2"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Технічні вимоги</w:t>
                  </w:r>
                </w:p>
              </w:tc>
            </w:tr>
            <w:tr w:rsidR="007A39B7" w:rsidRPr="007A39B7" w14:paraId="006B2CBA"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1A5AE060"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b/>
                      <w:sz w:val="24"/>
                      <w:szCs w:val="24"/>
                      <w:lang w:eastAsia="ar-SA"/>
                    </w:rPr>
                  </w:pPr>
                </w:p>
              </w:tc>
              <w:tc>
                <w:tcPr>
                  <w:tcW w:w="1984"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2B5E700F"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Виробник</w:t>
                  </w:r>
                </w:p>
              </w:tc>
              <w:tc>
                <w:tcPr>
                  <w:tcW w:w="11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60FDB73B"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Сервер має бути продуктом виробника, який має сертифіковане виробництво за стандартом ISO 9001 та ISO 14001. </w:t>
                  </w:r>
                </w:p>
              </w:tc>
            </w:tr>
            <w:tr w:rsidR="007A39B7" w:rsidRPr="007A39B7" w14:paraId="63972BBA" w14:textId="77777777" w:rsidTr="007A39B7">
              <w:trPr>
                <w:trHeight w:val="320"/>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2A9F8A54"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1</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458A792E"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Процесор</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C57B5AF"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встановлено не менш двох (2) процесорів не гірше </w:t>
                  </w:r>
                  <w:proofErr w:type="spellStart"/>
                  <w:r w:rsidRPr="007A39B7">
                    <w:rPr>
                      <w:rFonts w:ascii="Times New Roman" w:eastAsia="Times New Roman" w:hAnsi="Times New Roman" w:cs="Times New Roman"/>
                      <w:sz w:val="24"/>
                      <w:szCs w:val="24"/>
                      <w:lang w:eastAsia="ar-SA"/>
                    </w:rPr>
                    <w:t>Intel</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Xeon</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Scalable</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Gen</w:t>
                  </w:r>
                  <w:proofErr w:type="spellEnd"/>
                  <w:r w:rsidRPr="007A39B7">
                    <w:rPr>
                      <w:rFonts w:ascii="Times New Roman" w:eastAsia="Times New Roman" w:hAnsi="Times New Roman" w:cs="Times New Roman"/>
                      <w:sz w:val="24"/>
                      <w:szCs w:val="24"/>
                      <w:lang w:eastAsia="ar-SA"/>
                    </w:rPr>
                    <w:t xml:space="preserve"> 3</w:t>
                  </w:r>
                </w:p>
                <w:p w14:paraId="7BE1E62B"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кількістю </w:t>
                  </w:r>
                  <w:proofErr w:type="spellStart"/>
                  <w:r w:rsidRPr="007A39B7">
                    <w:rPr>
                      <w:rFonts w:ascii="Times New Roman" w:eastAsia="Times New Roman" w:hAnsi="Times New Roman" w:cs="Times New Roman"/>
                      <w:sz w:val="24"/>
                      <w:szCs w:val="24"/>
                      <w:lang w:eastAsia="ar-SA"/>
                    </w:rPr>
                    <w:t>ядер</w:t>
                  </w:r>
                  <w:proofErr w:type="spellEnd"/>
                  <w:r w:rsidRPr="007A39B7">
                    <w:rPr>
                      <w:rFonts w:ascii="Times New Roman" w:eastAsia="Times New Roman" w:hAnsi="Times New Roman" w:cs="Times New Roman"/>
                      <w:sz w:val="24"/>
                      <w:szCs w:val="24"/>
                      <w:lang w:eastAsia="ar-SA"/>
                    </w:rPr>
                    <w:t xml:space="preserve"> не менше 12 кожен</w:t>
                  </w:r>
                </w:p>
                <w:p w14:paraId="2447F988"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не менш ніж 24 потоків кожен</w:t>
                  </w:r>
                </w:p>
                <w:p w14:paraId="783C9E42"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базова частота не менше 2.1 ГГц кожний</w:t>
                  </w:r>
                </w:p>
                <w:p w14:paraId="48905199"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кеш пам’ять третього рівня не менш 18 MB</w:t>
                  </w:r>
                </w:p>
              </w:tc>
            </w:tr>
            <w:tr w:rsidR="007A39B7" w:rsidRPr="007A39B7" w14:paraId="46E3D4E0"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397573E9"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2</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69EC765A"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Оперативна пам'ять</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F854A31"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встановлено не менш 320 ГБ ECC RDIMM 3200 MT/s DDR4 пам’яті таким чином, щоб забезпечити максимальну продуктивність роботи процесора та підсистеми пам’яті</w:t>
                  </w:r>
                </w:p>
                <w:p w14:paraId="277BF811"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загальна кількість </w:t>
                  </w:r>
                  <w:proofErr w:type="spellStart"/>
                  <w:r w:rsidRPr="007A39B7">
                    <w:rPr>
                      <w:rFonts w:ascii="Times New Roman" w:eastAsia="Times New Roman" w:hAnsi="Times New Roman" w:cs="Times New Roman"/>
                      <w:sz w:val="24"/>
                      <w:szCs w:val="24"/>
                      <w:lang w:eastAsia="ar-SA"/>
                    </w:rPr>
                    <w:t>слотів</w:t>
                  </w:r>
                  <w:proofErr w:type="spellEnd"/>
                  <w:r w:rsidRPr="007A39B7">
                    <w:rPr>
                      <w:rFonts w:ascii="Times New Roman" w:eastAsia="Times New Roman" w:hAnsi="Times New Roman" w:cs="Times New Roman"/>
                      <w:sz w:val="24"/>
                      <w:szCs w:val="24"/>
                      <w:lang w:eastAsia="ar-SA"/>
                    </w:rPr>
                    <w:t xml:space="preserve"> для модулів пам`яті не менш 16</w:t>
                  </w:r>
                </w:p>
                <w:p w14:paraId="59E87BD7"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Усі встановлені модулі пам'яті повинні бути від виробника серверу (рекомендовані виробником) та мати відповідне маркування, якщо таке існує у виробника;</w:t>
                  </w:r>
                </w:p>
              </w:tc>
            </w:tr>
            <w:tr w:rsidR="007A39B7" w:rsidRPr="007A39B7" w14:paraId="6408630B"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2D6A7330"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3</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67D1BBCC"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Дисковий контролер</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41E6642"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Апаратний SAS/SATA RAID контролер з підтримкою рівнів  RAID  0, 1, 10, 5, 50, 6, 60 з не менше 8ГБ енергонезалежної кеш-пам'яті. </w:t>
                  </w:r>
                  <w:proofErr w:type="spellStart"/>
                  <w:r w:rsidRPr="007A39B7">
                    <w:rPr>
                      <w:rFonts w:ascii="Times New Roman" w:eastAsia="Times New Roman" w:hAnsi="Times New Roman" w:cs="Times New Roman"/>
                      <w:sz w:val="24"/>
                      <w:szCs w:val="24"/>
                      <w:lang w:eastAsia="ar-SA"/>
                    </w:rPr>
                    <w:t>Контроллер</w:t>
                  </w:r>
                  <w:proofErr w:type="spellEnd"/>
                  <w:r w:rsidRPr="007A39B7">
                    <w:rPr>
                      <w:rFonts w:ascii="Times New Roman" w:eastAsia="Times New Roman" w:hAnsi="Times New Roman" w:cs="Times New Roman"/>
                      <w:sz w:val="24"/>
                      <w:szCs w:val="24"/>
                      <w:lang w:eastAsia="ar-SA"/>
                    </w:rPr>
                    <w:t xml:space="preserve"> не має займати загальні PCI-</w:t>
                  </w:r>
                  <w:proofErr w:type="spellStart"/>
                  <w:r w:rsidRPr="007A39B7">
                    <w:rPr>
                      <w:rFonts w:ascii="Times New Roman" w:eastAsia="Times New Roman" w:hAnsi="Times New Roman" w:cs="Times New Roman"/>
                      <w:sz w:val="24"/>
                      <w:szCs w:val="24"/>
                      <w:lang w:eastAsia="ar-SA"/>
                    </w:rPr>
                    <w:t>слоти</w:t>
                  </w:r>
                  <w:proofErr w:type="spellEnd"/>
                  <w:r w:rsidRPr="007A39B7">
                    <w:rPr>
                      <w:rFonts w:ascii="Times New Roman" w:eastAsia="Times New Roman" w:hAnsi="Times New Roman" w:cs="Times New Roman"/>
                      <w:sz w:val="24"/>
                      <w:szCs w:val="24"/>
                      <w:lang w:eastAsia="ar-SA"/>
                    </w:rPr>
                    <w:t>. Контролер має підтримувати:</w:t>
                  </w:r>
                </w:p>
                <w:p w14:paraId="4D45FA6C" w14:textId="77777777" w:rsidR="007A39B7" w:rsidRPr="007A39B7" w:rsidRDefault="007A39B7" w:rsidP="007A39B7">
                  <w:pPr>
                    <w:numPr>
                      <w:ilvl w:val="1"/>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підключення SATA та SAS дисків, працюючих на 3Гб/с та 6Гб/с для SATA та 3Гб/с, 6Гб/с та 12Гб/с для SAS</w:t>
                  </w:r>
                </w:p>
                <w:p w14:paraId="10A4D23C" w14:textId="77777777" w:rsidR="007A39B7" w:rsidRPr="007A39B7" w:rsidRDefault="007A39B7" w:rsidP="007A39B7">
                  <w:pPr>
                    <w:numPr>
                      <w:ilvl w:val="1"/>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підтримка «гарячої заміни» дисків;</w:t>
                  </w:r>
                </w:p>
                <w:p w14:paraId="1E2208D6" w14:textId="77777777" w:rsidR="007A39B7" w:rsidRPr="007A39B7" w:rsidRDefault="007A39B7" w:rsidP="007A39B7">
                  <w:pPr>
                    <w:numPr>
                      <w:ilvl w:val="1"/>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lastRenderedPageBreak/>
                    <w:t>підтримка виділеного та глобального гарячого резерву</w:t>
                  </w:r>
                </w:p>
                <w:p w14:paraId="1AB9C6B2"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повинна бути можливість встановити апаратний рейд контролер з підтримкою гарячої заміни М.2 SSD дисків, що не займає загальні </w:t>
                  </w:r>
                  <w:proofErr w:type="spellStart"/>
                  <w:r w:rsidRPr="007A39B7">
                    <w:rPr>
                      <w:rFonts w:ascii="Times New Roman" w:eastAsia="Times New Roman" w:hAnsi="Times New Roman" w:cs="Times New Roman"/>
                      <w:sz w:val="24"/>
                      <w:szCs w:val="24"/>
                      <w:lang w:eastAsia="ar-SA"/>
                    </w:rPr>
                    <w:t>слоти</w:t>
                  </w:r>
                  <w:proofErr w:type="spellEnd"/>
                  <w:r w:rsidRPr="007A39B7">
                    <w:rPr>
                      <w:rFonts w:ascii="Times New Roman" w:eastAsia="Times New Roman" w:hAnsi="Times New Roman" w:cs="Times New Roman"/>
                      <w:sz w:val="24"/>
                      <w:szCs w:val="24"/>
                      <w:lang w:eastAsia="ar-SA"/>
                    </w:rPr>
                    <w:t xml:space="preserve"> розширення. Контролер повинен підтримувати зміну режимів HBA та RAID 1.</w:t>
                  </w:r>
                </w:p>
              </w:tc>
            </w:tr>
            <w:tr w:rsidR="007A39B7" w:rsidRPr="007A39B7" w14:paraId="1F5DFBB0" w14:textId="77777777" w:rsidTr="007A39B7">
              <w:trPr>
                <w:trHeight w:val="1721"/>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30CC88AB"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lastRenderedPageBreak/>
                    <w:t>4</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31A3E2A3"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Дискова підсистема</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73A4ADF"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можливість встановлення не менш ніж 12 дисків SAS\SATA форм-фактору LFF з підтримкою гарячої заміни.</w:t>
                  </w:r>
                </w:p>
                <w:p w14:paraId="12574E0B"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встановлено не менш ніж </w:t>
                  </w:r>
                  <w:r w:rsidRPr="007A39B7">
                    <w:rPr>
                      <w:rFonts w:ascii="Times New Roman" w:eastAsia="Times New Roman" w:hAnsi="Times New Roman" w:cs="Times New Roman"/>
                      <w:sz w:val="24"/>
                      <w:szCs w:val="24"/>
                      <w:lang w:val="ru-RU" w:eastAsia="ar-SA"/>
                    </w:rPr>
                    <w:t>6</w:t>
                  </w:r>
                  <w:r w:rsidRPr="007A39B7">
                    <w:rPr>
                      <w:rFonts w:ascii="Times New Roman" w:eastAsia="Times New Roman" w:hAnsi="Times New Roman" w:cs="Times New Roman"/>
                      <w:sz w:val="24"/>
                      <w:szCs w:val="24"/>
                      <w:lang w:eastAsia="ar-SA"/>
                    </w:rPr>
                    <w:t xml:space="preserve"> дисків SAS HDD 7.2K об'ємом не менше 8TB кожен</w:t>
                  </w:r>
                </w:p>
                <w:p w14:paraId="3A59A761"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встановлено не менш ніж 2 диски M.2 SSD об'ємом не менше 240GB, що не займають місце у загальних </w:t>
                  </w:r>
                  <w:proofErr w:type="spellStart"/>
                  <w:r w:rsidRPr="007A39B7">
                    <w:rPr>
                      <w:rFonts w:ascii="Times New Roman" w:eastAsia="Times New Roman" w:hAnsi="Times New Roman" w:cs="Times New Roman"/>
                      <w:sz w:val="24"/>
                      <w:szCs w:val="24"/>
                      <w:lang w:eastAsia="ar-SA"/>
                    </w:rPr>
                    <w:t>слотах</w:t>
                  </w:r>
                  <w:proofErr w:type="spellEnd"/>
                  <w:r w:rsidRPr="007A39B7">
                    <w:rPr>
                      <w:rFonts w:ascii="Times New Roman" w:eastAsia="Times New Roman" w:hAnsi="Times New Roman" w:cs="Times New Roman"/>
                      <w:sz w:val="24"/>
                      <w:szCs w:val="24"/>
                      <w:lang w:eastAsia="ar-SA"/>
                    </w:rPr>
                    <w:t xml:space="preserve"> розширення, згруповані у RAID1 </w:t>
                  </w:r>
                </w:p>
                <w:p w14:paraId="1C771499"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усі встановлені диски повинні бути від виробника серверу (рекомендовані виробником) та мати відповідне маркування, якщо таке існує у виробника</w:t>
                  </w:r>
                </w:p>
              </w:tc>
            </w:tr>
            <w:tr w:rsidR="007A39B7" w:rsidRPr="007A39B7" w14:paraId="66464A40"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738D5B10"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5</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10EB63A2"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Інтерфейси інформаційної мережі (</w:t>
                  </w:r>
                  <w:proofErr w:type="spellStart"/>
                  <w:r w:rsidRPr="007A39B7">
                    <w:rPr>
                      <w:rFonts w:ascii="Times New Roman" w:eastAsia="Times New Roman" w:hAnsi="Times New Roman" w:cs="Times New Roman"/>
                      <w:b/>
                      <w:sz w:val="24"/>
                      <w:szCs w:val="24"/>
                      <w:lang w:eastAsia="ar-SA"/>
                    </w:rPr>
                    <w:t>Ethernet</w:t>
                  </w:r>
                  <w:proofErr w:type="spellEnd"/>
                  <w:r w:rsidRPr="007A39B7">
                    <w:rPr>
                      <w:rFonts w:ascii="Times New Roman" w:eastAsia="Times New Roman" w:hAnsi="Times New Roman" w:cs="Times New Roman"/>
                      <w:b/>
                      <w:sz w:val="24"/>
                      <w:szCs w:val="24"/>
                      <w:lang w:eastAsia="ar-SA"/>
                    </w:rPr>
                    <w:t>)</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15A0A34"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не менше 2 (двох) портів та не гірше ніж 1 </w:t>
                  </w:r>
                  <w:proofErr w:type="spellStart"/>
                  <w:r w:rsidRPr="007A39B7">
                    <w:rPr>
                      <w:rFonts w:ascii="Times New Roman" w:eastAsia="Times New Roman" w:hAnsi="Times New Roman" w:cs="Times New Roman"/>
                      <w:sz w:val="24"/>
                      <w:szCs w:val="24"/>
                      <w:lang w:eastAsia="ar-SA"/>
                    </w:rPr>
                    <w:t>Gigabit</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Ethernet</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Base</w:t>
                  </w:r>
                  <w:proofErr w:type="spellEnd"/>
                  <w:r w:rsidRPr="007A39B7">
                    <w:rPr>
                      <w:rFonts w:ascii="Times New Roman" w:eastAsia="Times New Roman" w:hAnsi="Times New Roman" w:cs="Times New Roman"/>
                      <w:sz w:val="24"/>
                      <w:szCs w:val="24"/>
                      <w:lang w:eastAsia="ar-SA"/>
                    </w:rPr>
                    <w:t>-T що розпаяні на материнській платі.</w:t>
                  </w:r>
                </w:p>
              </w:tc>
            </w:tr>
            <w:tr w:rsidR="007A39B7" w:rsidRPr="007A39B7" w14:paraId="40FC4408"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319B5F87"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6</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30AC958F"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Блок живлення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7F26EC8"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 ~220 В  1Ф  50 </w:t>
                  </w:r>
                  <w:proofErr w:type="spellStart"/>
                  <w:r w:rsidRPr="007A39B7">
                    <w:rPr>
                      <w:rFonts w:ascii="Times New Roman" w:eastAsia="Times New Roman" w:hAnsi="Times New Roman" w:cs="Times New Roman"/>
                      <w:sz w:val="24"/>
                      <w:szCs w:val="24"/>
                      <w:lang w:eastAsia="ar-SA"/>
                    </w:rPr>
                    <w:t>Гц</w:t>
                  </w:r>
                  <w:proofErr w:type="spellEnd"/>
                  <w:r w:rsidRPr="007A39B7">
                    <w:rPr>
                      <w:rFonts w:ascii="Times New Roman" w:eastAsia="Times New Roman" w:hAnsi="Times New Roman" w:cs="Times New Roman"/>
                      <w:sz w:val="24"/>
                      <w:szCs w:val="24"/>
                      <w:lang w:eastAsia="ar-SA"/>
                    </w:rPr>
                    <w:t>, потужність не менш ніж 800 Вт кожний, з підтримкою «гарячої заміни»</w:t>
                  </w:r>
                </w:p>
                <w:p w14:paraId="5A90D4B5"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 класу енергоефективності не гірше 80 PLUS </w:t>
                  </w:r>
                  <w:proofErr w:type="spellStart"/>
                  <w:r w:rsidRPr="007A39B7">
                    <w:rPr>
                      <w:rFonts w:ascii="Times New Roman" w:eastAsia="Times New Roman" w:hAnsi="Times New Roman" w:cs="Times New Roman"/>
                      <w:sz w:val="24"/>
                      <w:szCs w:val="24"/>
                      <w:lang w:eastAsia="ar-SA"/>
                    </w:rPr>
                    <w:t>Platinum</w:t>
                  </w:r>
                  <w:proofErr w:type="spellEnd"/>
                </w:p>
                <w:p w14:paraId="013D0CBC"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повинно бути встановлено не менше 2 блоків живлення.</w:t>
                  </w:r>
                </w:p>
                <w:p w14:paraId="1E1E27C5"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 повинна бути забезпечена </w:t>
                  </w:r>
                  <w:proofErr w:type="spellStart"/>
                  <w:r w:rsidRPr="007A39B7">
                    <w:rPr>
                      <w:rFonts w:ascii="Times New Roman" w:eastAsia="Times New Roman" w:hAnsi="Times New Roman" w:cs="Times New Roman"/>
                      <w:sz w:val="24"/>
                      <w:szCs w:val="24"/>
                      <w:lang w:eastAsia="ar-SA"/>
                    </w:rPr>
                    <w:t>відмовостійкість</w:t>
                  </w:r>
                  <w:proofErr w:type="spellEnd"/>
                  <w:r w:rsidRPr="007A39B7">
                    <w:rPr>
                      <w:rFonts w:ascii="Times New Roman" w:eastAsia="Times New Roman" w:hAnsi="Times New Roman" w:cs="Times New Roman"/>
                      <w:sz w:val="24"/>
                      <w:szCs w:val="24"/>
                      <w:lang w:eastAsia="ar-SA"/>
                    </w:rPr>
                    <w:t xml:space="preserve"> не гірше ніж 1+1</w:t>
                  </w:r>
                </w:p>
                <w:p w14:paraId="05E86F23"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наявність комплекту кабелів для підключення до мережі живлення (C13 на C14) довжиною не менш ніж 2м;</w:t>
                  </w:r>
                </w:p>
              </w:tc>
            </w:tr>
            <w:tr w:rsidR="007A39B7" w:rsidRPr="007A39B7" w14:paraId="10AD1F02"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28CAAC7B"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7</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0247A415"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Корпус</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16E725A"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форм-фактор – для встановлення у шафу 19"</w:t>
                  </w:r>
                </w:p>
                <w:p w14:paraId="5525AD6E"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висота не більше 2 </w:t>
                  </w:r>
                  <w:proofErr w:type="spellStart"/>
                  <w:r w:rsidRPr="007A39B7">
                    <w:rPr>
                      <w:rFonts w:ascii="Times New Roman" w:eastAsia="Times New Roman" w:hAnsi="Times New Roman" w:cs="Times New Roman"/>
                      <w:sz w:val="24"/>
                      <w:szCs w:val="24"/>
                      <w:lang w:eastAsia="ar-SA"/>
                    </w:rPr>
                    <w:t>юніти</w:t>
                  </w:r>
                  <w:proofErr w:type="spellEnd"/>
                </w:p>
                <w:p w14:paraId="217B316D"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в комплекті з сервером йдуть телескопічні направляючі для монтування в стійку з кронштейном для укладання кабелю.</w:t>
                  </w:r>
                </w:p>
                <w:p w14:paraId="0E23DB9F"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наявність лицьової панелі з можливістю закриття на ключ для запобігання доступу до дисків.</w:t>
                  </w:r>
                </w:p>
              </w:tc>
            </w:tr>
            <w:tr w:rsidR="007A39B7" w:rsidRPr="007A39B7" w14:paraId="07386FAD" w14:textId="77777777" w:rsidTr="007A39B7">
              <w:trPr>
                <w:trHeight w:val="23"/>
              </w:trPr>
              <w:tc>
                <w:tcPr>
                  <w:tcW w:w="42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5C8B44B3"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8</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65D770F9"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Охолодження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515FA85"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не менше ніж 5 вентиляторів з підтримкою гарячої заміни</w:t>
                  </w:r>
                </w:p>
              </w:tc>
            </w:tr>
            <w:tr w:rsidR="007A39B7" w:rsidRPr="007A39B7" w14:paraId="5A345AC2"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1B20EB89"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9</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58F89646"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Порти розширення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3A9DB69"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не менш трьох портів </w:t>
                  </w:r>
                  <w:proofErr w:type="spellStart"/>
                  <w:r w:rsidRPr="007A39B7">
                    <w:rPr>
                      <w:rFonts w:ascii="Times New Roman" w:eastAsia="Times New Roman" w:hAnsi="Times New Roman" w:cs="Times New Roman"/>
                      <w:sz w:val="24"/>
                      <w:szCs w:val="24"/>
                      <w:lang w:eastAsia="ar-SA"/>
                    </w:rPr>
                    <w:t>PCIe</w:t>
                  </w:r>
                  <w:proofErr w:type="spellEnd"/>
                  <w:r w:rsidRPr="007A39B7">
                    <w:rPr>
                      <w:rFonts w:ascii="Times New Roman" w:eastAsia="Times New Roman" w:hAnsi="Times New Roman" w:cs="Times New Roman"/>
                      <w:sz w:val="24"/>
                      <w:szCs w:val="24"/>
                      <w:lang w:eastAsia="ar-SA"/>
                    </w:rPr>
                    <w:t xml:space="preserve"> з яких що найменше 5 (</w:t>
                  </w:r>
                  <w:proofErr w:type="spellStart"/>
                  <w:r w:rsidRPr="007A39B7">
                    <w:rPr>
                      <w:rFonts w:ascii="Times New Roman" w:eastAsia="Times New Roman" w:hAnsi="Times New Roman" w:cs="Times New Roman"/>
                      <w:sz w:val="24"/>
                      <w:szCs w:val="24"/>
                      <w:lang w:eastAsia="ar-SA"/>
                    </w:rPr>
                    <w:t>пяти</w:t>
                  </w:r>
                  <w:proofErr w:type="spellEnd"/>
                  <w:r w:rsidRPr="007A39B7">
                    <w:rPr>
                      <w:rFonts w:ascii="Times New Roman" w:eastAsia="Times New Roman" w:hAnsi="Times New Roman" w:cs="Times New Roman"/>
                      <w:sz w:val="24"/>
                      <w:szCs w:val="24"/>
                      <w:lang w:eastAsia="ar-SA"/>
                    </w:rPr>
                    <w:t xml:space="preserve">) х16 gen4 та 1 (одного) х4 </w:t>
                  </w:r>
                </w:p>
                <w:p w14:paraId="36533F22"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proofErr w:type="spellStart"/>
                  <w:r w:rsidRPr="007A39B7">
                    <w:rPr>
                      <w:rFonts w:ascii="Times New Roman" w:eastAsia="Times New Roman" w:hAnsi="Times New Roman" w:cs="Times New Roman"/>
                      <w:sz w:val="24"/>
                      <w:szCs w:val="24"/>
                      <w:lang w:eastAsia="ar-SA"/>
                    </w:rPr>
                    <w:t>опціональна</w:t>
                  </w:r>
                  <w:proofErr w:type="spellEnd"/>
                  <w:r w:rsidRPr="007A39B7">
                    <w:rPr>
                      <w:rFonts w:ascii="Times New Roman" w:eastAsia="Times New Roman" w:hAnsi="Times New Roman" w:cs="Times New Roman"/>
                      <w:sz w:val="24"/>
                      <w:szCs w:val="24"/>
                      <w:lang w:eastAsia="ar-SA"/>
                    </w:rPr>
                    <w:t xml:space="preserve"> можливість додання не менш одного внутрішнього USB 3.0 </w:t>
                  </w:r>
                  <w:proofErr w:type="spellStart"/>
                  <w:r w:rsidRPr="007A39B7">
                    <w:rPr>
                      <w:rFonts w:ascii="Times New Roman" w:eastAsia="Times New Roman" w:hAnsi="Times New Roman" w:cs="Times New Roman"/>
                      <w:sz w:val="24"/>
                      <w:szCs w:val="24"/>
                      <w:lang w:eastAsia="ar-SA"/>
                    </w:rPr>
                    <w:t>порта</w:t>
                  </w:r>
                  <w:proofErr w:type="spellEnd"/>
                </w:p>
                <w:p w14:paraId="32A9DC16"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не менш одного VGA, що знаходиться на передній панелі сервера та ще одного VGA на задній панелі сервера</w:t>
                  </w:r>
                </w:p>
                <w:p w14:paraId="396CFE93"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proofErr w:type="spellStart"/>
                  <w:r w:rsidRPr="007A39B7">
                    <w:rPr>
                      <w:rFonts w:ascii="Times New Roman" w:eastAsia="Times New Roman" w:hAnsi="Times New Roman" w:cs="Times New Roman"/>
                      <w:sz w:val="24"/>
                      <w:szCs w:val="24"/>
                      <w:lang w:eastAsia="ar-SA"/>
                    </w:rPr>
                    <w:t>опціональна</w:t>
                  </w:r>
                  <w:proofErr w:type="spellEnd"/>
                  <w:r w:rsidRPr="007A39B7">
                    <w:rPr>
                      <w:rFonts w:ascii="Times New Roman" w:eastAsia="Times New Roman" w:hAnsi="Times New Roman" w:cs="Times New Roman"/>
                      <w:sz w:val="24"/>
                      <w:szCs w:val="24"/>
                      <w:lang w:eastAsia="ar-SA"/>
                    </w:rPr>
                    <w:t xml:space="preserve"> можливість додання не менш одного RS-232</w:t>
                  </w:r>
                </w:p>
                <w:p w14:paraId="256F2B4A"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не менш 1 (одного) порту USB 2.0 на задній панелі сервера та ще 1 (одного) порту USB 2.0 що знаходиться на передній панелі сервера</w:t>
                  </w:r>
                </w:p>
                <w:p w14:paraId="34DC8036"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не менш 1 (одного) порту USB 3.0 на задній панелі сервера</w:t>
                  </w:r>
                </w:p>
                <w:p w14:paraId="0A2F78A7" w14:textId="77777777" w:rsidR="007A39B7" w:rsidRPr="007A39B7" w:rsidRDefault="007A39B7" w:rsidP="007A39B7">
                  <w:pPr>
                    <w:suppressAutoHyphens/>
                    <w:spacing w:after="0" w:line="240" w:lineRule="auto"/>
                    <w:ind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не менш 1 (одного) порту USB з доступом до контролеру віддаленого керування.</w:t>
                  </w:r>
                </w:p>
              </w:tc>
            </w:tr>
            <w:tr w:rsidR="007A39B7" w:rsidRPr="007A39B7" w14:paraId="0C353B81"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258AB83E"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10</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55CAEE5A"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Безпека</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526C5A4"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наявність модулю </w:t>
                  </w:r>
                  <w:proofErr w:type="spellStart"/>
                  <w:r w:rsidRPr="007A39B7">
                    <w:rPr>
                      <w:rFonts w:ascii="Times New Roman" w:eastAsia="Times New Roman" w:hAnsi="Times New Roman" w:cs="Times New Roman"/>
                      <w:sz w:val="24"/>
                      <w:szCs w:val="24"/>
                      <w:lang w:eastAsia="ar-SA"/>
                    </w:rPr>
                    <w:t>криптопроцесору</w:t>
                  </w:r>
                  <w:proofErr w:type="spellEnd"/>
                  <w:r w:rsidRPr="007A39B7">
                    <w:rPr>
                      <w:rFonts w:ascii="Times New Roman" w:eastAsia="Times New Roman" w:hAnsi="Times New Roman" w:cs="Times New Roman"/>
                      <w:sz w:val="24"/>
                      <w:szCs w:val="24"/>
                      <w:lang w:eastAsia="ar-SA"/>
                    </w:rPr>
                    <w:t xml:space="preserve"> для зберігання криптографічних ключів для захисту інформації;</w:t>
                  </w:r>
                </w:p>
                <w:p w14:paraId="1B790158"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lastRenderedPageBreak/>
                    <w:t>для запобігання стороннього втручання до роботи серверу потрібна наявність функції відключення кнопки живлення у BIOS;</w:t>
                  </w:r>
                </w:p>
              </w:tc>
            </w:tr>
            <w:tr w:rsidR="007A39B7" w:rsidRPr="007A39B7" w14:paraId="5C2F69DA"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71386F9E"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lastRenderedPageBreak/>
                    <w:t>11</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1D1F039A"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Операційні системи, що підтримуються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9D9E085"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Сервер має підтримувати:</w:t>
                  </w:r>
                </w:p>
                <w:p w14:paraId="46872349"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proofErr w:type="spellStart"/>
                  <w:r w:rsidRPr="007A39B7">
                    <w:rPr>
                      <w:rFonts w:ascii="Times New Roman" w:eastAsia="Times New Roman" w:hAnsi="Times New Roman" w:cs="Times New Roman"/>
                      <w:sz w:val="24"/>
                      <w:szCs w:val="24"/>
                      <w:lang w:eastAsia="ar-SA"/>
                    </w:rPr>
                    <w:t>Canonical</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Ubuntu</w:t>
                  </w:r>
                  <w:proofErr w:type="spellEnd"/>
                  <w:r w:rsidRPr="007A39B7">
                    <w:rPr>
                      <w:rFonts w:ascii="Times New Roman" w:eastAsia="Times New Roman" w:hAnsi="Times New Roman" w:cs="Times New Roman"/>
                      <w:sz w:val="24"/>
                      <w:szCs w:val="24"/>
                      <w:lang w:eastAsia="ar-SA"/>
                    </w:rPr>
                    <w:t xml:space="preserve"> Server LTS </w:t>
                  </w:r>
                </w:p>
                <w:p w14:paraId="4961809C"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proofErr w:type="spellStart"/>
                  <w:r w:rsidRPr="007A39B7">
                    <w:rPr>
                      <w:rFonts w:ascii="Times New Roman" w:eastAsia="Times New Roman" w:hAnsi="Times New Roman" w:cs="Times New Roman"/>
                      <w:sz w:val="24"/>
                      <w:szCs w:val="24"/>
                      <w:lang w:eastAsia="ar-SA"/>
                    </w:rPr>
                    <w:t>Citrix</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Hypervisor</w:t>
                  </w:r>
                  <w:proofErr w:type="spellEnd"/>
                  <w:r w:rsidRPr="007A39B7">
                    <w:rPr>
                      <w:rFonts w:ascii="Times New Roman" w:eastAsia="Times New Roman" w:hAnsi="Times New Roman" w:cs="Times New Roman"/>
                      <w:sz w:val="24"/>
                      <w:szCs w:val="24"/>
                      <w:lang w:eastAsia="ar-SA"/>
                    </w:rPr>
                    <w:t xml:space="preserve"> </w:t>
                  </w:r>
                </w:p>
                <w:p w14:paraId="3C8FB963"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Microsoft Windows Server </w:t>
                  </w:r>
                  <w:proofErr w:type="spellStart"/>
                  <w:r w:rsidRPr="007A39B7">
                    <w:rPr>
                      <w:rFonts w:ascii="Times New Roman" w:eastAsia="Times New Roman" w:hAnsi="Times New Roman" w:cs="Times New Roman"/>
                      <w:sz w:val="24"/>
                      <w:szCs w:val="24"/>
                      <w:lang w:eastAsia="ar-SA"/>
                    </w:rPr>
                    <w:t>with</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Hyper</w:t>
                  </w:r>
                  <w:proofErr w:type="spellEnd"/>
                  <w:r w:rsidRPr="007A39B7">
                    <w:rPr>
                      <w:rFonts w:ascii="Times New Roman" w:eastAsia="Times New Roman" w:hAnsi="Times New Roman" w:cs="Times New Roman"/>
                      <w:sz w:val="24"/>
                      <w:szCs w:val="24"/>
                      <w:lang w:eastAsia="ar-SA"/>
                    </w:rPr>
                    <w:t xml:space="preserve">-V </w:t>
                  </w:r>
                </w:p>
                <w:p w14:paraId="70C7E733"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proofErr w:type="spellStart"/>
                  <w:r w:rsidRPr="007A39B7">
                    <w:rPr>
                      <w:rFonts w:ascii="Times New Roman" w:eastAsia="Times New Roman" w:hAnsi="Times New Roman" w:cs="Times New Roman"/>
                      <w:sz w:val="24"/>
                      <w:szCs w:val="24"/>
                      <w:lang w:eastAsia="ar-SA"/>
                    </w:rPr>
                    <w:t>Red</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Hat</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Enterprise</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Linux</w:t>
                  </w:r>
                  <w:proofErr w:type="spellEnd"/>
                  <w:r w:rsidRPr="007A39B7">
                    <w:rPr>
                      <w:rFonts w:ascii="Times New Roman" w:eastAsia="Times New Roman" w:hAnsi="Times New Roman" w:cs="Times New Roman"/>
                      <w:sz w:val="24"/>
                      <w:szCs w:val="24"/>
                      <w:lang w:eastAsia="ar-SA"/>
                    </w:rPr>
                    <w:t xml:space="preserve"> </w:t>
                  </w:r>
                </w:p>
                <w:p w14:paraId="3FFD805F"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SUSE </w:t>
                  </w:r>
                  <w:proofErr w:type="spellStart"/>
                  <w:r w:rsidRPr="007A39B7">
                    <w:rPr>
                      <w:rFonts w:ascii="Times New Roman" w:eastAsia="Times New Roman" w:hAnsi="Times New Roman" w:cs="Times New Roman"/>
                      <w:sz w:val="24"/>
                      <w:szCs w:val="24"/>
                      <w:lang w:eastAsia="ar-SA"/>
                    </w:rPr>
                    <w:t>Linux</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Enterprise</w:t>
                  </w:r>
                  <w:proofErr w:type="spellEnd"/>
                  <w:r w:rsidRPr="007A39B7">
                    <w:rPr>
                      <w:rFonts w:ascii="Times New Roman" w:eastAsia="Times New Roman" w:hAnsi="Times New Roman" w:cs="Times New Roman"/>
                      <w:sz w:val="24"/>
                      <w:szCs w:val="24"/>
                      <w:lang w:eastAsia="ar-SA"/>
                    </w:rPr>
                    <w:t xml:space="preserve"> Server </w:t>
                  </w:r>
                </w:p>
                <w:p w14:paraId="7B328544" w14:textId="77777777" w:rsidR="007A39B7" w:rsidRPr="007A39B7" w:rsidRDefault="007A39B7" w:rsidP="007A39B7">
                  <w:pPr>
                    <w:suppressAutoHyphens/>
                    <w:spacing w:after="0" w:line="240" w:lineRule="auto"/>
                    <w:ind w:left="57" w:right="66"/>
                    <w:contextualSpacing/>
                    <w:jc w:val="both"/>
                    <w:rPr>
                      <w:rFonts w:ascii="Times New Roman" w:eastAsia="Times New Roman" w:hAnsi="Times New Roman" w:cs="Times New Roman"/>
                      <w:sz w:val="24"/>
                      <w:szCs w:val="24"/>
                      <w:lang w:eastAsia="ar-SA"/>
                    </w:rPr>
                  </w:pPr>
                  <w:proofErr w:type="spellStart"/>
                  <w:r w:rsidRPr="007A39B7">
                    <w:rPr>
                      <w:rFonts w:ascii="Times New Roman" w:eastAsia="Times New Roman" w:hAnsi="Times New Roman" w:cs="Times New Roman"/>
                      <w:sz w:val="24"/>
                      <w:szCs w:val="24"/>
                      <w:lang w:eastAsia="ar-SA"/>
                    </w:rPr>
                    <w:t>VMware</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ESXi</w:t>
                  </w:r>
                  <w:proofErr w:type="spellEnd"/>
                </w:p>
              </w:tc>
            </w:tr>
            <w:tr w:rsidR="007A39B7" w:rsidRPr="007A39B7" w14:paraId="1FE37430"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21FCBC9E"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12</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77DCCCDE"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Функції керування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CAC47D3"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окремий </w:t>
                  </w:r>
                  <w:proofErr w:type="spellStart"/>
                  <w:r w:rsidRPr="007A39B7">
                    <w:rPr>
                      <w:rFonts w:ascii="Times New Roman" w:eastAsia="Times New Roman" w:hAnsi="Times New Roman" w:cs="Times New Roman"/>
                      <w:sz w:val="24"/>
                      <w:szCs w:val="24"/>
                      <w:lang w:eastAsia="ar-SA"/>
                    </w:rPr>
                    <w:t>Ethernet</w:t>
                  </w:r>
                  <w:proofErr w:type="spellEnd"/>
                  <w:r w:rsidRPr="007A39B7">
                    <w:rPr>
                      <w:rFonts w:ascii="Times New Roman" w:eastAsia="Times New Roman" w:hAnsi="Times New Roman" w:cs="Times New Roman"/>
                      <w:sz w:val="24"/>
                      <w:szCs w:val="24"/>
                      <w:lang w:eastAsia="ar-SA"/>
                    </w:rPr>
                    <w:t xml:space="preserve">-порт для дистанційного керування та моніторингу апаратної частини сервера через IP-мережу, можливість доступу до дистанційного керування та моніторингу через загальні </w:t>
                  </w:r>
                  <w:proofErr w:type="spellStart"/>
                  <w:r w:rsidRPr="007A39B7">
                    <w:rPr>
                      <w:rFonts w:ascii="Times New Roman" w:eastAsia="Times New Roman" w:hAnsi="Times New Roman" w:cs="Times New Roman"/>
                      <w:sz w:val="24"/>
                      <w:szCs w:val="24"/>
                      <w:lang w:eastAsia="ar-SA"/>
                    </w:rPr>
                    <w:t>Ethernet</w:t>
                  </w:r>
                  <w:proofErr w:type="spellEnd"/>
                  <w:r w:rsidRPr="007A39B7">
                    <w:rPr>
                      <w:rFonts w:ascii="Times New Roman" w:eastAsia="Times New Roman" w:hAnsi="Times New Roman" w:cs="Times New Roman"/>
                      <w:sz w:val="24"/>
                      <w:szCs w:val="24"/>
                      <w:lang w:eastAsia="ar-SA"/>
                    </w:rPr>
                    <w:t>-порти.</w:t>
                  </w:r>
                </w:p>
                <w:p w14:paraId="284C4824"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віддалений доступ до консолі управління обчислювального вузла за допомогою веб-браузерів, інтерфейсу командного рядка за протоколами SSH, </w:t>
                  </w:r>
                  <w:proofErr w:type="spellStart"/>
                  <w:r w:rsidRPr="007A39B7">
                    <w:rPr>
                      <w:rFonts w:ascii="Times New Roman" w:eastAsia="Times New Roman" w:hAnsi="Times New Roman" w:cs="Times New Roman"/>
                      <w:sz w:val="24"/>
                      <w:szCs w:val="24"/>
                      <w:lang w:eastAsia="ar-SA"/>
                    </w:rPr>
                    <w:t>telnet</w:t>
                  </w:r>
                  <w:proofErr w:type="spellEnd"/>
                  <w:r w:rsidRPr="007A39B7">
                    <w:rPr>
                      <w:rFonts w:ascii="Times New Roman" w:eastAsia="Times New Roman" w:hAnsi="Times New Roman" w:cs="Times New Roman"/>
                      <w:sz w:val="24"/>
                      <w:szCs w:val="24"/>
                      <w:lang w:eastAsia="ar-SA"/>
                    </w:rPr>
                    <w:t xml:space="preserve">, IPMI і </w:t>
                  </w:r>
                  <w:proofErr w:type="spellStart"/>
                  <w:r w:rsidRPr="007A39B7">
                    <w:rPr>
                      <w:rFonts w:ascii="Times New Roman" w:eastAsia="Times New Roman" w:hAnsi="Times New Roman" w:cs="Times New Roman"/>
                      <w:sz w:val="24"/>
                      <w:szCs w:val="24"/>
                      <w:lang w:eastAsia="ar-SA"/>
                    </w:rPr>
                    <w:t>Redfish</w:t>
                  </w:r>
                  <w:proofErr w:type="spellEnd"/>
                  <w:r w:rsidRPr="007A39B7">
                    <w:rPr>
                      <w:rFonts w:ascii="Times New Roman" w:eastAsia="Times New Roman" w:hAnsi="Times New Roman" w:cs="Times New Roman"/>
                      <w:sz w:val="24"/>
                      <w:szCs w:val="24"/>
                      <w:lang w:eastAsia="ar-SA"/>
                    </w:rPr>
                    <w:t xml:space="preserve">; </w:t>
                  </w:r>
                </w:p>
                <w:p w14:paraId="11784281"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можливість віддалено підключати клавіатуру, дисплей та маніпулятор типу “миша” (віддалений KVM доступ), CD і DVD дисководи, які визначаються обчислювальною машиною як локальні;</w:t>
                  </w:r>
                </w:p>
                <w:p w14:paraId="4D9C15E5"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віддалений KVM доступ повинен працювати без встановлення додаткового програмного забезпечення за допомогою HTML5, шифрування трафіку ключом не менш 256 біт;</w:t>
                  </w:r>
                </w:p>
                <w:p w14:paraId="7800D385"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інтеграція автентифікації менеджменту до </w:t>
                  </w:r>
                  <w:proofErr w:type="spellStart"/>
                  <w:r w:rsidRPr="007A39B7">
                    <w:rPr>
                      <w:rFonts w:ascii="Times New Roman" w:eastAsia="Times New Roman" w:hAnsi="Times New Roman" w:cs="Times New Roman"/>
                      <w:sz w:val="24"/>
                      <w:szCs w:val="24"/>
                      <w:lang w:eastAsia="ar-SA"/>
                    </w:rPr>
                    <w:t>Active</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Directory</w:t>
                  </w:r>
                  <w:proofErr w:type="spellEnd"/>
                  <w:r w:rsidRPr="007A39B7">
                    <w:rPr>
                      <w:rFonts w:ascii="Times New Roman" w:eastAsia="Times New Roman" w:hAnsi="Times New Roman" w:cs="Times New Roman"/>
                      <w:sz w:val="24"/>
                      <w:szCs w:val="24"/>
                      <w:lang w:eastAsia="ar-SA"/>
                    </w:rPr>
                    <w:t xml:space="preserve"> Замовника;</w:t>
                  </w:r>
                </w:p>
                <w:p w14:paraId="52BF93A5"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повинна бути можливість встановлення модулю для підключення через </w:t>
                  </w:r>
                  <w:proofErr w:type="spellStart"/>
                  <w:r w:rsidRPr="007A39B7">
                    <w:rPr>
                      <w:rFonts w:ascii="Times New Roman" w:eastAsia="Times New Roman" w:hAnsi="Times New Roman" w:cs="Times New Roman"/>
                      <w:sz w:val="24"/>
                      <w:szCs w:val="24"/>
                      <w:lang w:eastAsia="ar-SA"/>
                    </w:rPr>
                    <w:t>Bluetooth</w:t>
                  </w:r>
                  <w:proofErr w:type="spellEnd"/>
                  <w:r w:rsidRPr="007A39B7">
                    <w:rPr>
                      <w:rFonts w:ascii="Times New Roman" w:eastAsia="Times New Roman" w:hAnsi="Times New Roman" w:cs="Times New Roman"/>
                      <w:sz w:val="24"/>
                      <w:szCs w:val="24"/>
                      <w:lang w:eastAsia="ar-SA"/>
                    </w:rPr>
                    <w:t xml:space="preserve"> або </w:t>
                  </w:r>
                  <w:proofErr w:type="spellStart"/>
                  <w:r w:rsidRPr="007A39B7">
                    <w:rPr>
                      <w:rFonts w:ascii="Times New Roman" w:eastAsia="Times New Roman" w:hAnsi="Times New Roman" w:cs="Times New Roman"/>
                      <w:sz w:val="24"/>
                      <w:szCs w:val="24"/>
                      <w:lang w:eastAsia="ar-SA"/>
                    </w:rPr>
                    <w:t>WiFi</w:t>
                  </w:r>
                  <w:proofErr w:type="spellEnd"/>
                  <w:r w:rsidRPr="007A39B7">
                    <w:rPr>
                      <w:rFonts w:ascii="Times New Roman" w:eastAsia="Times New Roman" w:hAnsi="Times New Roman" w:cs="Times New Roman"/>
                      <w:sz w:val="24"/>
                      <w:szCs w:val="24"/>
                      <w:lang w:eastAsia="ar-SA"/>
                    </w:rPr>
                    <w:t xml:space="preserve"> пристроїв під управлінням ОС </w:t>
                  </w:r>
                  <w:proofErr w:type="spellStart"/>
                  <w:r w:rsidRPr="007A39B7">
                    <w:rPr>
                      <w:rFonts w:ascii="Times New Roman" w:eastAsia="Times New Roman" w:hAnsi="Times New Roman" w:cs="Times New Roman"/>
                      <w:sz w:val="24"/>
                      <w:szCs w:val="24"/>
                      <w:lang w:eastAsia="ar-SA"/>
                    </w:rPr>
                    <w:t>Android</w:t>
                  </w:r>
                  <w:proofErr w:type="spellEnd"/>
                  <w:r w:rsidRPr="007A39B7">
                    <w:rPr>
                      <w:rFonts w:ascii="Times New Roman" w:eastAsia="Times New Roman" w:hAnsi="Times New Roman" w:cs="Times New Roman"/>
                      <w:sz w:val="24"/>
                      <w:szCs w:val="24"/>
                      <w:lang w:eastAsia="ar-SA"/>
                    </w:rPr>
                    <w:t xml:space="preserve"> та ОС </w:t>
                  </w:r>
                  <w:proofErr w:type="spellStart"/>
                  <w:r w:rsidRPr="007A39B7">
                    <w:rPr>
                      <w:rFonts w:ascii="Times New Roman" w:eastAsia="Times New Roman" w:hAnsi="Times New Roman" w:cs="Times New Roman"/>
                      <w:sz w:val="24"/>
                      <w:szCs w:val="24"/>
                      <w:lang w:eastAsia="ar-SA"/>
                    </w:rPr>
                    <w:t>iOS</w:t>
                  </w:r>
                  <w:proofErr w:type="spellEnd"/>
                  <w:r w:rsidRPr="007A39B7">
                    <w:rPr>
                      <w:rFonts w:ascii="Times New Roman" w:eastAsia="Times New Roman" w:hAnsi="Times New Roman" w:cs="Times New Roman"/>
                      <w:sz w:val="24"/>
                      <w:szCs w:val="24"/>
                      <w:lang w:eastAsia="ar-SA"/>
                    </w:rPr>
                    <w:t xml:space="preserve"> для отримання інформації про стан сервера, версії встановлених </w:t>
                  </w:r>
                  <w:proofErr w:type="spellStart"/>
                  <w:r w:rsidRPr="007A39B7">
                    <w:rPr>
                      <w:rFonts w:ascii="Times New Roman" w:eastAsia="Times New Roman" w:hAnsi="Times New Roman" w:cs="Times New Roman"/>
                      <w:sz w:val="24"/>
                      <w:szCs w:val="24"/>
                      <w:lang w:eastAsia="ar-SA"/>
                    </w:rPr>
                    <w:t>мікрокодів</w:t>
                  </w:r>
                  <w:proofErr w:type="spellEnd"/>
                  <w:r w:rsidRPr="007A39B7">
                    <w:rPr>
                      <w:rFonts w:ascii="Times New Roman" w:eastAsia="Times New Roman" w:hAnsi="Times New Roman" w:cs="Times New Roman"/>
                      <w:sz w:val="24"/>
                      <w:szCs w:val="24"/>
                      <w:lang w:eastAsia="ar-SA"/>
                    </w:rPr>
                    <w:t xml:space="preserve">, повідомлень про помилки, а також налаштування мережі для контролера керування сервера з використанням спеціальних програм, написаних для ОС </w:t>
                  </w:r>
                  <w:proofErr w:type="spellStart"/>
                  <w:r w:rsidRPr="007A39B7">
                    <w:rPr>
                      <w:rFonts w:ascii="Times New Roman" w:eastAsia="Times New Roman" w:hAnsi="Times New Roman" w:cs="Times New Roman"/>
                      <w:sz w:val="24"/>
                      <w:szCs w:val="24"/>
                      <w:lang w:eastAsia="ar-SA"/>
                    </w:rPr>
                    <w:t>Android</w:t>
                  </w:r>
                  <w:proofErr w:type="spellEnd"/>
                  <w:r w:rsidRPr="007A39B7">
                    <w:rPr>
                      <w:rFonts w:ascii="Times New Roman" w:eastAsia="Times New Roman" w:hAnsi="Times New Roman" w:cs="Times New Roman"/>
                      <w:sz w:val="24"/>
                      <w:szCs w:val="24"/>
                      <w:lang w:eastAsia="ar-SA"/>
                    </w:rPr>
                    <w:t xml:space="preserve"> і ОС </w:t>
                  </w:r>
                  <w:proofErr w:type="spellStart"/>
                  <w:r w:rsidRPr="007A39B7">
                    <w:rPr>
                      <w:rFonts w:ascii="Times New Roman" w:eastAsia="Times New Roman" w:hAnsi="Times New Roman" w:cs="Times New Roman"/>
                      <w:sz w:val="24"/>
                      <w:szCs w:val="24"/>
                      <w:lang w:eastAsia="ar-SA"/>
                    </w:rPr>
                    <w:t>iOS</w:t>
                  </w:r>
                  <w:proofErr w:type="spellEnd"/>
                  <w:r w:rsidRPr="007A39B7">
                    <w:rPr>
                      <w:rFonts w:ascii="Times New Roman" w:eastAsia="Times New Roman" w:hAnsi="Times New Roman" w:cs="Times New Roman"/>
                      <w:sz w:val="24"/>
                      <w:szCs w:val="24"/>
                      <w:lang w:eastAsia="ar-SA"/>
                    </w:rPr>
                    <w:t>;</w:t>
                  </w:r>
                </w:p>
                <w:p w14:paraId="1A900460"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керування енергоспоживанням сервера;</w:t>
                  </w:r>
                </w:p>
                <w:p w14:paraId="22048BC7"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можливість управління RAID-контролерами, що встановлюються всередині корпусу обчислювального вузла, через веб-інтерфейс або командний інтерфейс модуля управління без необхідності установки агентського ПО в ОС. </w:t>
                  </w:r>
                </w:p>
                <w:p w14:paraId="23730DE9"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можливість використання апаратно-програмних засобів для підготовки до установки операційної системи (конфігурація томів, створення розділів, копіювання драйверів, створення файлів відповіді для інсталяторів ОС), які не потребують використання зовнішніх носіїв інформації;</w:t>
                  </w:r>
                </w:p>
                <w:p w14:paraId="0FE97B77"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застосування оновлень </w:t>
                  </w:r>
                  <w:proofErr w:type="spellStart"/>
                  <w:r w:rsidRPr="007A39B7">
                    <w:rPr>
                      <w:rFonts w:ascii="Times New Roman" w:eastAsia="Times New Roman" w:hAnsi="Times New Roman" w:cs="Times New Roman"/>
                      <w:sz w:val="24"/>
                      <w:szCs w:val="24"/>
                      <w:lang w:eastAsia="ar-SA"/>
                    </w:rPr>
                    <w:t>мікрокодів</w:t>
                  </w:r>
                  <w:proofErr w:type="spellEnd"/>
                  <w:r w:rsidRPr="007A39B7">
                    <w:rPr>
                      <w:rFonts w:ascii="Times New Roman" w:eastAsia="Times New Roman" w:hAnsi="Times New Roman" w:cs="Times New Roman"/>
                      <w:sz w:val="24"/>
                      <w:szCs w:val="24"/>
                      <w:lang w:eastAsia="ar-SA"/>
                    </w:rPr>
                    <w:t xml:space="preserve"> компонент обчислювального вузла як через інтерфейс модуля управління сервером, так і з підтримуваних операційних систем;</w:t>
                  </w:r>
                </w:p>
                <w:p w14:paraId="0B323337"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 xml:space="preserve">модуль керування сервером повинен мати функціонал безпечної перевірки цілісності і незмінності пакетів оновлень </w:t>
                  </w:r>
                  <w:proofErr w:type="spellStart"/>
                  <w:r w:rsidRPr="007A39B7">
                    <w:rPr>
                      <w:rFonts w:ascii="Times New Roman" w:eastAsia="Times New Roman" w:hAnsi="Times New Roman" w:cs="Times New Roman"/>
                      <w:sz w:val="24"/>
                      <w:szCs w:val="24"/>
                      <w:lang w:eastAsia="ar-SA"/>
                    </w:rPr>
                    <w:t>мікрокодів</w:t>
                  </w:r>
                  <w:proofErr w:type="spellEnd"/>
                  <w:r w:rsidRPr="007A39B7">
                    <w:rPr>
                      <w:rFonts w:ascii="Times New Roman" w:eastAsia="Times New Roman" w:hAnsi="Times New Roman" w:cs="Times New Roman"/>
                      <w:sz w:val="24"/>
                      <w:szCs w:val="24"/>
                      <w:lang w:eastAsia="ar-SA"/>
                    </w:rPr>
                    <w:t xml:space="preserve"> компонент обчислювального вузла на етапі підготовки поновлення;</w:t>
                  </w:r>
                </w:p>
              </w:tc>
            </w:tr>
            <w:tr w:rsidR="007A39B7" w:rsidRPr="007A39B7" w14:paraId="041312F2"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73ED198B"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lastRenderedPageBreak/>
                    <w:t>13</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69F9EDF8"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Централізоване керування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42B2254"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можливість підключення серверу до централізованого інтерфейсу управління на основі HTML5 від виробника серверу, що має можливість масштабування до 8 тисяч пристроїв, включаючи всі типи серверів (</w:t>
                  </w:r>
                  <w:proofErr w:type="spellStart"/>
                  <w:r w:rsidRPr="007A39B7">
                    <w:rPr>
                      <w:rFonts w:ascii="Times New Roman" w:eastAsia="Times New Roman" w:hAnsi="Times New Roman" w:cs="Times New Roman"/>
                      <w:sz w:val="24"/>
                      <w:szCs w:val="24"/>
                      <w:lang w:eastAsia="ar-SA"/>
                    </w:rPr>
                    <w:t>Rack</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Tower</w:t>
                  </w:r>
                  <w:proofErr w:type="spellEnd"/>
                  <w:r w:rsidRPr="007A39B7">
                    <w:rPr>
                      <w:rFonts w:ascii="Times New Roman" w:eastAsia="Times New Roman" w:hAnsi="Times New Roman" w:cs="Times New Roman"/>
                      <w:sz w:val="24"/>
                      <w:szCs w:val="24"/>
                      <w:lang w:eastAsia="ar-SA"/>
                    </w:rPr>
                    <w:t xml:space="preserve">, </w:t>
                  </w:r>
                  <w:proofErr w:type="spellStart"/>
                  <w:r w:rsidRPr="007A39B7">
                    <w:rPr>
                      <w:rFonts w:ascii="Times New Roman" w:eastAsia="Times New Roman" w:hAnsi="Times New Roman" w:cs="Times New Roman"/>
                      <w:sz w:val="24"/>
                      <w:szCs w:val="24"/>
                      <w:lang w:eastAsia="ar-SA"/>
                    </w:rPr>
                    <w:t>Blade</w:t>
                  </w:r>
                  <w:proofErr w:type="spellEnd"/>
                  <w:r w:rsidRPr="007A39B7">
                    <w:rPr>
                      <w:rFonts w:ascii="Times New Roman" w:eastAsia="Times New Roman" w:hAnsi="Times New Roman" w:cs="Times New Roman"/>
                      <w:sz w:val="24"/>
                      <w:szCs w:val="24"/>
                      <w:lang w:eastAsia="ar-SA"/>
                    </w:rPr>
                    <w:t>), а також СЗД та комутаторів.</w:t>
                  </w:r>
                </w:p>
                <w:p w14:paraId="75D0C52E"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Інтеграція до консолі має бути безкоштовна.</w:t>
                  </w:r>
                </w:p>
                <w:p w14:paraId="65297FA7"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Можливість придбання додаткової безстрокової ліцензії для розширення функціоналу.</w:t>
                  </w:r>
                </w:p>
              </w:tc>
            </w:tr>
            <w:tr w:rsidR="007A39B7" w:rsidRPr="007A39B7" w14:paraId="50F3A7CA" w14:textId="77777777" w:rsidTr="007A39B7">
              <w:trPr>
                <w:trHeight w:val="23"/>
              </w:trPr>
              <w:tc>
                <w:tcPr>
                  <w:tcW w:w="426" w:type="dxa"/>
                  <w:tcBorders>
                    <w:top w:val="single" w:sz="4" w:space="0" w:color="000000"/>
                    <w:left w:val="single" w:sz="4" w:space="0" w:color="000000"/>
                    <w:bottom w:val="single" w:sz="4" w:space="0" w:color="000000"/>
                    <w:right w:val="nil"/>
                  </w:tcBorders>
                  <w:shd w:val="clear" w:color="auto" w:fill="FFFFFF"/>
                  <w:tcMar>
                    <w:top w:w="0" w:type="dxa"/>
                    <w:left w:w="40" w:type="dxa"/>
                    <w:bottom w:w="0" w:type="dxa"/>
                    <w:right w:w="40" w:type="dxa"/>
                  </w:tcMar>
                  <w:vAlign w:val="center"/>
                  <w:hideMark/>
                </w:tcPr>
                <w:p w14:paraId="6ACA8941" w14:textId="77777777" w:rsidR="007A39B7" w:rsidRPr="007A39B7" w:rsidRDefault="007A39B7" w:rsidP="007A39B7">
                  <w:pPr>
                    <w:suppressAutoHyphens/>
                    <w:spacing w:after="0" w:line="240" w:lineRule="auto"/>
                    <w:contextualSpacing/>
                    <w:jc w:val="center"/>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14</w:t>
                  </w:r>
                </w:p>
              </w:tc>
              <w:tc>
                <w:tcPr>
                  <w:tcW w:w="198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14:paraId="77007D6B" w14:textId="77777777" w:rsidR="007A39B7" w:rsidRPr="007A39B7" w:rsidRDefault="007A39B7" w:rsidP="007A39B7">
                  <w:pPr>
                    <w:suppressAutoHyphens/>
                    <w:spacing w:after="0" w:line="240" w:lineRule="auto"/>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Гарантія</w:t>
                  </w:r>
                </w:p>
              </w:tc>
              <w:tc>
                <w:tcPr>
                  <w:tcW w:w="1135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hideMark/>
                </w:tcPr>
                <w:p w14:paraId="68D866FB" w14:textId="77777777" w:rsidR="007A39B7" w:rsidRPr="007A39B7" w:rsidRDefault="007A39B7" w:rsidP="007A39B7">
                  <w:pPr>
                    <w:numPr>
                      <w:ilvl w:val="0"/>
                      <w:numId w:val="6"/>
                    </w:numPr>
                    <w:suppressAutoHyphens/>
                    <w:spacing w:after="0" w:line="240" w:lineRule="auto"/>
                    <w:ind w:left="57" w:right="66"/>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Термін гарантії не менше 36 місяців (від виробника обладнання) за схемою 24х7. Гарантійна підтримка повинна включати доступ до оновлень мікро-кодів обладнання, а також віддалену діагностику і підтримку з боку центру технічної підтримки виробника, виконання робіт по гарантійному обслуговуванню з прибуттям сервісного інженера виробника на місце розташування обладнання у разі необхідності на наступний робочий день.</w:t>
                  </w:r>
                </w:p>
              </w:tc>
            </w:tr>
          </w:tbl>
          <w:p w14:paraId="2E78CCD9" w14:textId="77777777" w:rsidR="007A39B7" w:rsidRPr="007A39B7" w:rsidRDefault="007A39B7" w:rsidP="007A39B7">
            <w:pPr>
              <w:suppressAutoHyphens/>
              <w:contextualSpacing/>
              <w:jc w:val="both"/>
              <w:rPr>
                <w:rFonts w:ascii="Times New Roman" w:eastAsia="Times New Roman" w:hAnsi="Times New Roman" w:cs="Times New Roman"/>
                <w:sz w:val="28"/>
                <w:szCs w:val="28"/>
                <w:lang w:eastAsia="ar-SA"/>
              </w:rPr>
            </w:pPr>
          </w:p>
          <w:p w14:paraId="6B5759DA" w14:textId="77777777" w:rsidR="007A39B7" w:rsidRPr="007A39B7" w:rsidRDefault="007A39B7" w:rsidP="007A39B7">
            <w:pPr>
              <w:numPr>
                <w:ilvl w:val="0"/>
                <w:numId w:val="3"/>
              </w:numPr>
              <w:suppressAutoHyphens/>
              <w:ind w:left="357" w:hanging="357"/>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Вимоги до комплектуючих наявного обладнання</w:t>
            </w:r>
          </w:p>
          <w:p w14:paraId="111EE2CE" w14:textId="77777777" w:rsidR="007A39B7" w:rsidRPr="007A39B7" w:rsidRDefault="007A39B7" w:rsidP="007A39B7">
            <w:pPr>
              <w:numPr>
                <w:ilvl w:val="1"/>
                <w:numId w:val="3"/>
              </w:numPr>
              <w:suppressAutoHyphens/>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Загальні вимоги до комплектуючих</w:t>
            </w:r>
          </w:p>
          <w:p w14:paraId="68EFADCF"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 xml:space="preserve">Для забезпечення гарантованої сумісності з наявним обладнанням та задля убезпечення від можливих проблем стосовно надання послуг </w:t>
            </w:r>
            <w:r w:rsidRPr="007A39B7">
              <w:rPr>
                <w:rFonts w:ascii="Times New Roman" w:eastAsia="Times New Roman" w:hAnsi="Times New Roman" w:cs="Times New Roman"/>
                <w:sz w:val="24"/>
                <w:szCs w:val="24"/>
                <w:lang w:eastAsia="ar-SA"/>
              </w:rPr>
              <w:t xml:space="preserve">технічної </w:t>
            </w:r>
            <w:r w:rsidRPr="007A39B7">
              <w:rPr>
                <w:rFonts w:ascii="Times New Roman" w:eastAsia="Times New Roman" w:hAnsi="Times New Roman" w:cs="Times New Roman"/>
                <w:bCs/>
                <w:sz w:val="24"/>
                <w:szCs w:val="24"/>
                <w:lang w:eastAsia="ar-SA"/>
              </w:rPr>
              <w:t>підтримки від виробника-постачальника наявного обладнання, запропоновані Учасником комплектуючи модулі мають бути від того ж виробника</w:t>
            </w:r>
            <w:r w:rsidRPr="007A39B7">
              <w:rPr>
                <w:rFonts w:ascii="Times New Roman" w:eastAsia="Times New Roman" w:hAnsi="Times New Roman" w:cs="Times New Roman"/>
                <w:bCs/>
                <w:sz w:val="24"/>
                <w:szCs w:val="24"/>
                <w:vertAlign w:val="superscript"/>
                <w:lang w:eastAsia="ar-SA"/>
              </w:rPr>
              <w:footnoteReference w:id="2"/>
            </w:r>
            <w:r w:rsidRPr="007A39B7">
              <w:rPr>
                <w:rFonts w:ascii="Times New Roman" w:eastAsia="Times New Roman" w:hAnsi="Times New Roman" w:cs="Times New Roman"/>
                <w:bCs/>
                <w:sz w:val="24"/>
                <w:szCs w:val="24"/>
                <w:lang w:eastAsia="ar-SA"/>
              </w:rPr>
              <w:t>, який є виробником-постачальником вказаного нижче обладнання.</w:t>
            </w:r>
          </w:p>
          <w:p w14:paraId="4DEBC826"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Допускається варіант постачання модулів від того ж виробника-постачальника, аналогічних зазначеним, але під іншим артикулом, або які є іншим варіантом вказаної в цьому ТЗ моделі, або які є моделями наступного покоління по відношенню до вказаної у ТЗ моделі – при умові, що запропоновані комплектуючи є цілком сумісні з вказаним обладнанням та мають характеристики продуктивності не гірше, ніж зазначені у цьому ТЗ.</w:t>
            </w:r>
          </w:p>
          <w:p w14:paraId="696A2D7F"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Гарантія на комплектуючи має бути не менше 12 місяців.</w:t>
            </w:r>
          </w:p>
          <w:p w14:paraId="29605D38" w14:textId="77777777" w:rsidR="007A39B7" w:rsidRPr="007A39B7" w:rsidRDefault="007A39B7" w:rsidP="007A39B7">
            <w:pPr>
              <w:contextualSpacing/>
              <w:jc w:val="both"/>
              <w:rPr>
                <w:rFonts w:ascii="Times New Roman" w:eastAsia="Times New Roman" w:hAnsi="Times New Roman" w:cs="Times New Roman"/>
                <w:b/>
                <w:sz w:val="24"/>
                <w:szCs w:val="24"/>
                <w:highlight w:val="yellow"/>
                <w:lang w:eastAsia="ar-SA"/>
              </w:rPr>
            </w:pPr>
          </w:p>
          <w:p w14:paraId="70E4FF63" w14:textId="77777777" w:rsidR="007A39B7" w:rsidRPr="007A39B7" w:rsidRDefault="007A39B7" w:rsidP="007A39B7">
            <w:pPr>
              <w:numPr>
                <w:ilvl w:val="0"/>
                <w:numId w:val="3"/>
              </w:numPr>
              <w:suppressAutoHyphens/>
              <w:ind w:left="357" w:hanging="357"/>
              <w:contextualSpacing/>
              <w:jc w:val="both"/>
              <w:rPr>
                <w:rFonts w:ascii="Times New Roman" w:eastAsia="Times New Roman" w:hAnsi="Times New Roman" w:cs="Times New Roman"/>
                <w:b/>
                <w:sz w:val="24"/>
                <w:szCs w:val="24"/>
                <w:lang w:eastAsia="ar-SA"/>
              </w:rPr>
            </w:pPr>
            <w:r w:rsidRPr="007A39B7">
              <w:rPr>
                <w:rFonts w:ascii="Times New Roman" w:eastAsia="Times New Roman" w:hAnsi="Times New Roman" w:cs="Times New Roman"/>
                <w:b/>
                <w:sz w:val="24"/>
                <w:szCs w:val="24"/>
                <w:lang w:eastAsia="ar-SA"/>
              </w:rPr>
              <w:t>Вимоги по впровадженню</w:t>
            </w:r>
          </w:p>
          <w:p w14:paraId="1C267533"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 xml:space="preserve">Тендерна пропозиція має включати у себе послуги по впровадженню запропонованих продуктів, тобто Учасник, який буде обраний переможцем, має виконати наступне, </w:t>
            </w:r>
            <w:r w:rsidRPr="007A39B7">
              <w:rPr>
                <w:rFonts w:ascii="Times New Roman" w:eastAsia="Times New Roman" w:hAnsi="Times New Roman" w:cs="Times New Roman"/>
                <w:sz w:val="24"/>
                <w:szCs w:val="24"/>
                <w:lang w:eastAsia="ar-SA"/>
              </w:rPr>
              <w:t>у кількості та функціональної якості, що відповідає завданим технічним умовам та умовам Договору</w:t>
            </w:r>
            <w:r w:rsidRPr="007A39B7">
              <w:rPr>
                <w:rFonts w:ascii="Times New Roman" w:eastAsia="Times New Roman" w:hAnsi="Times New Roman" w:cs="Times New Roman"/>
                <w:bCs/>
                <w:sz w:val="24"/>
                <w:szCs w:val="24"/>
                <w:lang w:eastAsia="ar-SA"/>
              </w:rPr>
              <w:t>:</w:t>
            </w:r>
          </w:p>
          <w:p w14:paraId="0A6ADF4D" w14:textId="77777777" w:rsidR="007A39B7" w:rsidRPr="007A39B7" w:rsidRDefault="007A39B7" w:rsidP="007A39B7">
            <w:pPr>
              <w:numPr>
                <w:ilvl w:val="0"/>
                <w:numId w:val="7"/>
              </w:numPr>
              <w:suppressAutoHyphens/>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постачання запропонованих у своєї тендерної пропозиції програмних та апаратних продуктів та ліцензій до них, що входять у склад запропонованого рішення;</w:t>
            </w:r>
          </w:p>
          <w:p w14:paraId="4105422C" w14:textId="77777777" w:rsidR="007A39B7" w:rsidRPr="007A39B7" w:rsidRDefault="007A39B7" w:rsidP="007A39B7">
            <w:pPr>
              <w:numPr>
                <w:ilvl w:val="0"/>
                <w:numId w:val="7"/>
              </w:numPr>
              <w:suppressAutoHyphens/>
              <w:contextualSpacing/>
              <w:jc w:val="both"/>
              <w:rPr>
                <w:rFonts w:ascii="Times New Roman" w:eastAsia="Times New Roman" w:hAnsi="Times New Roman" w:cs="Times New Roman"/>
                <w:sz w:val="24"/>
                <w:szCs w:val="24"/>
                <w:lang w:eastAsia="ar-SA"/>
              </w:rPr>
            </w:pPr>
            <w:r w:rsidRPr="007A39B7">
              <w:rPr>
                <w:rFonts w:ascii="Times New Roman" w:eastAsia="Times New Roman" w:hAnsi="Times New Roman" w:cs="Times New Roman"/>
                <w:sz w:val="24"/>
                <w:szCs w:val="24"/>
                <w:lang w:eastAsia="ar-SA"/>
              </w:rPr>
              <w:t>встановлення обладнання, що поставляється переможцем торгів в рамках цієї закупки, його комутація та інфраструктурна стиковка з наявними системами замовника, його базове налаштування (на рівні системних налаштувань).</w:t>
            </w:r>
          </w:p>
          <w:p w14:paraId="01C86A7B" w14:textId="77777777" w:rsidR="007A39B7" w:rsidRPr="007A39B7" w:rsidRDefault="007A39B7" w:rsidP="007A39B7">
            <w:pPr>
              <w:suppressAutoHyphens/>
              <w:contextualSpacing/>
              <w:jc w:val="both"/>
              <w:rPr>
                <w:rFonts w:ascii="Times New Roman" w:eastAsia="Times New Roman" w:hAnsi="Times New Roman" w:cs="Times New Roman"/>
                <w:bCs/>
                <w:sz w:val="24"/>
                <w:szCs w:val="24"/>
                <w:lang w:eastAsia="ar-SA"/>
              </w:rPr>
            </w:pPr>
            <w:r w:rsidRPr="007A39B7">
              <w:rPr>
                <w:rFonts w:ascii="Times New Roman" w:eastAsia="Times New Roman" w:hAnsi="Times New Roman" w:cs="Times New Roman"/>
                <w:bCs/>
                <w:sz w:val="24"/>
                <w:szCs w:val="24"/>
                <w:lang w:eastAsia="ar-SA"/>
              </w:rPr>
              <w:t>При наданні цих послуг Учасник  має узгоджувати із уповноваженими особами Замовника будь-які технічні, технологічні та концептуальні рішення, які Учасник планує впровадити у рамках цієї закупівлі.</w:t>
            </w:r>
          </w:p>
          <w:p w14:paraId="00A991A8" w14:textId="77777777" w:rsidR="007A39B7" w:rsidRPr="007A39B7" w:rsidRDefault="007A39B7" w:rsidP="007A39B7">
            <w:pPr>
              <w:ind w:firstLine="567"/>
              <w:jc w:val="both"/>
              <w:rPr>
                <w:rFonts w:ascii="Times New Roman" w:eastAsia="Arial" w:hAnsi="Times New Roman" w:cs="Times New Roman"/>
                <w:lang w:eastAsia="ru-RU"/>
              </w:rPr>
            </w:pPr>
          </w:p>
          <w:p w14:paraId="04458A84" w14:textId="77777777" w:rsidR="007A39B7" w:rsidRPr="007A39B7" w:rsidRDefault="007A39B7" w:rsidP="007A39B7">
            <w:pPr>
              <w:ind w:firstLine="567"/>
              <w:jc w:val="both"/>
              <w:rPr>
                <w:rFonts w:ascii="Times New Roman" w:eastAsia="Arial" w:hAnsi="Times New Roman" w:cs="Times New Roman"/>
                <w:lang w:eastAsia="ru-RU"/>
              </w:rPr>
            </w:pPr>
            <w:r w:rsidRPr="007A39B7">
              <w:rPr>
                <w:rFonts w:ascii="Times New Roman" w:eastAsia="Arial" w:hAnsi="Times New Roman" w:cs="Times New Roman"/>
                <w:lang w:eastAsia="ru-RU"/>
              </w:rPr>
              <w:lastRenderedPageBreak/>
              <w:t>Учасник повинен врахувати у ціні Обладнання вартість послуг із його доставки, монтажу, підключення та базового налаштування, відповідно до вимог Замовника, тобто учасник, який буде обраний переможцем, має виконати наступне:</w:t>
            </w:r>
          </w:p>
          <w:p w14:paraId="7ADFA211" w14:textId="77777777" w:rsidR="007A39B7" w:rsidRPr="007A39B7" w:rsidRDefault="007A39B7" w:rsidP="007A39B7">
            <w:pPr>
              <w:widowControl w:val="0"/>
              <w:numPr>
                <w:ilvl w:val="0"/>
                <w:numId w:val="5"/>
              </w:numPr>
              <w:ind w:left="928"/>
              <w:contextualSpacing/>
              <w:jc w:val="both"/>
              <w:rPr>
                <w:rFonts w:ascii="Times New Roman" w:eastAsia="Arial" w:hAnsi="Times New Roman" w:cs="Times New Roman"/>
                <w:lang w:eastAsia="ru-RU"/>
              </w:rPr>
            </w:pPr>
            <w:r w:rsidRPr="007A39B7">
              <w:rPr>
                <w:rFonts w:ascii="Times New Roman" w:eastAsia="Arial" w:hAnsi="Times New Roman" w:cs="Times New Roman"/>
                <w:lang w:eastAsia="ru-RU"/>
              </w:rPr>
              <w:t xml:space="preserve">Оновлення </w:t>
            </w:r>
            <w:proofErr w:type="spellStart"/>
            <w:r w:rsidRPr="007A39B7">
              <w:rPr>
                <w:rFonts w:ascii="Times New Roman" w:eastAsia="Arial" w:hAnsi="Times New Roman" w:cs="Times New Roman"/>
                <w:lang w:eastAsia="ru-RU"/>
              </w:rPr>
              <w:t>мікропрограмного</w:t>
            </w:r>
            <w:proofErr w:type="spellEnd"/>
            <w:r w:rsidRPr="007A39B7">
              <w:rPr>
                <w:rFonts w:ascii="Times New Roman" w:eastAsia="Arial" w:hAnsi="Times New Roman" w:cs="Times New Roman"/>
                <w:lang w:eastAsia="ru-RU"/>
              </w:rPr>
              <w:t xml:space="preserve"> забезпеченням апаратних компонент;</w:t>
            </w:r>
          </w:p>
          <w:p w14:paraId="70595520" w14:textId="77777777" w:rsidR="007A39B7" w:rsidRPr="007A39B7" w:rsidRDefault="007A39B7" w:rsidP="007A39B7">
            <w:pPr>
              <w:widowControl w:val="0"/>
              <w:numPr>
                <w:ilvl w:val="0"/>
                <w:numId w:val="5"/>
              </w:numPr>
              <w:ind w:left="928"/>
              <w:contextualSpacing/>
              <w:jc w:val="both"/>
              <w:rPr>
                <w:rFonts w:ascii="Times New Roman" w:eastAsia="Arial" w:hAnsi="Times New Roman" w:cs="Times New Roman"/>
                <w:lang w:eastAsia="ru-RU"/>
              </w:rPr>
            </w:pPr>
            <w:r w:rsidRPr="007A39B7">
              <w:rPr>
                <w:rFonts w:ascii="Times New Roman" w:eastAsia="Arial" w:hAnsi="Times New Roman" w:cs="Times New Roman"/>
                <w:lang w:eastAsia="ru-RU"/>
              </w:rPr>
              <w:t>Налаштування IP-адрес інтерфейсів керування;</w:t>
            </w:r>
          </w:p>
          <w:p w14:paraId="2E238EB5" w14:textId="77777777" w:rsidR="007A39B7" w:rsidRPr="007A39B7" w:rsidRDefault="007A39B7" w:rsidP="007A39B7">
            <w:pPr>
              <w:widowControl w:val="0"/>
              <w:numPr>
                <w:ilvl w:val="0"/>
                <w:numId w:val="5"/>
              </w:numPr>
              <w:ind w:left="928"/>
              <w:contextualSpacing/>
              <w:jc w:val="both"/>
              <w:rPr>
                <w:rFonts w:ascii="Times New Roman" w:eastAsia="Arial" w:hAnsi="Times New Roman" w:cs="Times New Roman"/>
                <w:lang w:eastAsia="ru-RU"/>
              </w:rPr>
            </w:pPr>
            <w:r w:rsidRPr="007A39B7">
              <w:rPr>
                <w:rFonts w:ascii="Times New Roman" w:eastAsia="Arial" w:hAnsi="Times New Roman" w:cs="Times New Roman"/>
                <w:lang w:eastAsia="ru-RU"/>
              </w:rPr>
              <w:t xml:space="preserve">Зміна паролів на всіх вбудованих облікових записах на відмінні від «за-замовченням» та передача Замовнику для подальшої зміни під час вводу в експлуатацію; </w:t>
            </w:r>
          </w:p>
          <w:p w14:paraId="252686C1" w14:textId="77777777" w:rsidR="007A39B7" w:rsidRPr="007A39B7" w:rsidRDefault="007A39B7" w:rsidP="007A39B7">
            <w:pPr>
              <w:widowControl w:val="0"/>
              <w:numPr>
                <w:ilvl w:val="0"/>
                <w:numId w:val="5"/>
              </w:numPr>
              <w:ind w:left="928"/>
              <w:contextualSpacing/>
              <w:jc w:val="both"/>
              <w:rPr>
                <w:rFonts w:ascii="Times New Roman" w:eastAsia="Arial" w:hAnsi="Times New Roman" w:cs="Times New Roman"/>
                <w:lang w:eastAsia="ru-RU"/>
              </w:rPr>
            </w:pPr>
            <w:r w:rsidRPr="007A39B7">
              <w:rPr>
                <w:rFonts w:ascii="Times New Roman" w:eastAsia="Arial" w:hAnsi="Times New Roman" w:cs="Times New Roman"/>
                <w:lang w:eastAsia="ru-RU"/>
              </w:rPr>
              <w:t xml:space="preserve">Встановлення та оновлення </w:t>
            </w:r>
            <w:proofErr w:type="spellStart"/>
            <w:r w:rsidRPr="007A39B7">
              <w:rPr>
                <w:rFonts w:ascii="Times New Roman" w:eastAsia="Arial" w:hAnsi="Times New Roman" w:cs="Times New Roman"/>
                <w:lang w:eastAsia="ru-RU"/>
              </w:rPr>
              <w:t>гіпервізора</w:t>
            </w:r>
            <w:proofErr w:type="spellEnd"/>
            <w:r w:rsidRPr="007A39B7">
              <w:rPr>
                <w:rFonts w:ascii="Times New Roman" w:eastAsia="Arial" w:hAnsi="Times New Roman" w:cs="Times New Roman"/>
                <w:lang w:eastAsia="ru-RU"/>
              </w:rPr>
              <w:t>;</w:t>
            </w:r>
          </w:p>
          <w:p w14:paraId="520C5B26" w14:textId="77777777" w:rsidR="007A39B7" w:rsidRPr="007A39B7" w:rsidRDefault="007A39B7" w:rsidP="007A39B7">
            <w:pPr>
              <w:widowControl w:val="0"/>
              <w:numPr>
                <w:ilvl w:val="0"/>
                <w:numId w:val="5"/>
              </w:numPr>
              <w:ind w:left="928"/>
              <w:contextualSpacing/>
              <w:jc w:val="both"/>
              <w:rPr>
                <w:rFonts w:ascii="Times New Roman" w:eastAsia="Arial" w:hAnsi="Times New Roman" w:cs="Times New Roman"/>
                <w:lang w:eastAsia="ru-RU"/>
              </w:rPr>
            </w:pPr>
            <w:r w:rsidRPr="007A39B7">
              <w:rPr>
                <w:rFonts w:ascii="Times New Roman" w:eastAsia="Arial" w:hAnsi="Times New Roman" w:cs="Times New Roman"/>
                <w:lang w:eastAsia="ru-RU"/>
              </w:rPr>
              <w:t xml:space="preserve">Створення стандартних порт-груп </w:t>
            </w:r>
            <w:proofErr w:type="spellStart"/>
            <w:r w:rsidRPr="007A39B7">
              <w:rPr>
                <w:rFonts w:ascii="Times New Roman" w:eastAsia="Arial" w:hAnsi="Times New Roman" w:cs="Times New Roman"/>
                <w:lang w:eastAsia="ru-RU"/>
              </w:rPr>
              <w:t>гіпервізора</w:t>
            </w:r>
            <w:proofErr w:type="spellEnd"/>
            <w:r w:rsidRPr="007A39B7">
              <w:rPr>
                <w:rFonts w:ascii="Times New Roman" w:eastAsia="Arial" w:hAnsi="Times New Roman" w:cs="Times New Roman"/>
                <w:lang w:eastAsia="ru-RU"/>
              </w:rPr>
              <w:t xml:space="preserve"> відповідно до переліку мереж;</w:t>
            </w:r>
          </w:p>
          <w:p w14:paraId="3F11B41F" w14:textId="77777777" w:rsidR="007A39B7" w:rsidRPr="007A39B7" w:rsidRDefault="007A39B7" w:rsidP="007A39B7">
            <w:pPr>
              <w:widowControl w:val="0"/>
              <w:numPr>
                <w:ilvl w:val="0"/>
                <w:numId w:val="5"/>
              </w:numPr>
              <w:ind w:left="928"/>
              <w:contextualSpacing/>
              <w:jc w:val="both"/>
              <w:rPr>
                <w:rFonts w:ascii="Times New Roman" w:eastAsia="Arial" w:hAnsi="Times New Roman" w:cs="Times New Roman"/>
                <w:lang w:eastAsia="ru-RU"/>
              </w:rPr>
            </w:pPr>
            <w:r w:rsidRPr="007A39B7">
              <w:rPr>
                <w:rFonts w:ascii="Times New Roman" w:eastAsia="Arial" w:hAnsi="Times New Roman" w:cs="Times New Roman"/>
                <w:lang w:eastAsia="ru-RU"/>
              </w:rPr>
              <w:t>Міграцію продуктивних навантажень (до 50 віртуальних машин) у погоджені Замовником вікна простою.</w:t>
            </w:r>
          </w:p>
          <w:p w14:paraId="2537D1A5" w14:textId="77777777" w:rsidR="007A39B7" w:rsidRPr="007A39B7" w:rsidRDefault="007A39B7" w:rsidP="007A39B7">
            <w:pPr>
              <w:ind w:firstLine="567"/>
              <w:jc w:val="both"/>
              <w:rPr>
                <w:rFonts w:ascii="Times New Roman" w:eastAsia="Arial" w:hAnsi="Times New Roman" w:cs="Times New Roman"/>
                <w:lang w:eastAsia="ru-RU"/>
              </w:rPr>
            </w:pPr>
            <w:r w:rsidRPr="007A39B7">
              <w:rPr>
                <w:rFonts w:ascii="Times New Roman" w:eastAsia="Arial" w:hAnsi="Times New Roman" w:cs="Times New Roman"/>
                <w:lang w:eastAsia="ru-RU"/>
              </w:rPr>
              <w:t>При виконанні базового налаштування, відповідно до вимог Замовника, учасник має узгоджувати свої дії із уповноваженими особами Замовника.</w:t>
            </w:r>
          </w:p>
          <w:p w14:paraId="69726C3F" w14:textId="77777777" w:rsidR="007A39B7" w:rsidRPr="007A39B7" w:rsidRDefault="007A39B7" w:rsidP="007A39B7">
            <w:pPr>
              <w:rPr>
                <w:rFonts w:ascii="Times New Roman" w:eastAsia="Arial" w:hAnsi="Times New Roman" w:cs="Times New Roman"/>
                <w:b/>
                <w:bCs/>
                <w:color w:val="0D0D0D"/>
                <w:shd w:val="clear" w:color="auto" w:fill="FFFFFF"/>
                <w:lang w:eastAsia="ru-RU"/>
              </w:rPr>
            </w:pPr>
          </w:p>
          <w:p w14:paraId="4BBDAAE8" w14:textId="77777777" w:rsidR="007A39B7" w:rsidRPr="007A39B7" w:rsidRDefault="007A39B7" w:rsidP="007A39B7">
            <w:pPr>
              <w:ind w:right="-25" w:firstLine="567"/>
              <w:rPr>
                <w:rFonts w:ascii="Times New Roman" w:eastAsia="Arial" w:hAnsi="Times New Roman" w:cs="Times New Roman"/>
                <w:b/>
                <w:i/>
                <w:lang w:eastAsia="ru-RU"/>
              </w:rPr>
            </w:pPr>
          </w:p>
          <w:p w14:paraId="46526A9C" w14:textId="77777777" w:rsidR="007A39B7" w:rsidRPr="007A39B7" w:rsidRDefault="007A39B7" w:rsidP="007A39B7">
            <w:pPr>
              <w:shd w:val="clear" w:color="auto" w:fill="FFFFFF"/>
              <w:jc w:val="both"/>
              <w:rPr>
                <w:rFonts w:ascii="Times New Roman" w:eastAsia="Times New Roman" w:hAnsi="Times New Roman" w:cs="Times New Roman"/>
                <w:i/>
                <w:sz w:val="18"/>
                <w:lang w:eastAsia="ru-RU"/>
              </w:rPr>
            </w:pPr>
            <w:r w:rsidRPr="007A39B7">
              <w:rPr>
                <w:rFonts w:ascii="Times New Roman" w:eastAsia="Times New Roman" w:hAnsi="Times New Roman" w:cs="Times New Roman"/>
                <w:i/>
                <w:sz w:val="18"/>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7A39B7">
              <w:rPr>
                <w:rFonts w:ascii="Times New Roman" w:eastAsia="Times New Roman" w:hAnsi="Times New Roman" w:cs="Times New Roman"/>
                <w:i/>
                <w:sz w:val="18"/>
                <w:u w:val="single"/>
                <w:lang w:eastAsia="ru-RU"/>
              </w:rPr>
              <w:t>Після кожного такого посилання слід вважати наявний вираз «або еквівалент».</w:t>
            </w:r>
            <w:r w:rsidRPr="007A39B7">
              <w:rPr>
                <w:rFonts w:ascii="Times New Roman" w:eastAsia="Times New Roman" w:hAnsi="Times New Roman" w:cs="Times New Roman"/>
                <w:i/>
                <w:sz w:val="18"/>
                <w:lang w:eastAsia="ru-RU"/>
              </w:rPr>
              <w:t xml:space="preserve"> </w:t>
            </w:r>
          </w:p>
          <w:p w14:paraId="62D0C4D3" w14:textId="77777777" w:rsidR="007A39B7" w:rsidRPr="007A39B7" w:rsidRDefault="007A39B7" w:rsidP="007A39B7">
            <w:pPr>
              <w:shd w:val="clear" w:color="auto" w:fill="FFFFFF"/>
              <w:jc w:val="both"/>
              <w:rPr>
                <w:rFonts w:ascii="Times New Roman" w:eastAsia="Times New Roman" w:hAnsi="Times New Roman" w:cs="Times New Roman"/>
                <w:i/>
                <w:sz w:val="18"/>
                <w:u w:val="single"/>
                <w:lang w:eastAsia="ru-RU"/>
              </w:rPr>
            </w:pPr>
            <w:r w:rsidRPr="007A39B7">
              <w:rPr>
                <w:rFonts w:ascii="Times New Roman" w:eastAsia="Times New Roman" w:hAnsi="Times New Roman" w:cs="Times New Roman"/>
                <w:i/>
                <w:sz w:val="18"/>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A39B7">
              <w:rPr>
                <w:rFonts w:ascii="Times New Roman" w:eastAsia="Times New Roman" w:hAnsi="Times New Roman" w:cs="Times New Roman"/>
                <w:i/>
                <w:sz w:val="18"/>
                <w:u w:val="single"/>
                <w:lang w:eastAsia="ru-RU"/>
              </w:rPr>
              <w:t xml:space="preserve">Після кожного такого посилання слід вважати наявний вираз «або еквівалент». </w:t>
            </w:r>
          </w:p>
          <w:p w14:paraId="28ED3F4B" w14:textId="77777777" w:rsidR="007A39B7" w:rsidRDefault="007A39B7" w:rsidP="006066FD">
            <w:pPr>
              <w:rPr>
                <w:rFonts w:ascii="Times New Roman" w:hAnsi="Times New Roman" w:cs="Times New Roman"/>
                <w:sz w:val="24"/>
                <w:szCs w:val="24"/>
              </w:rPr>
            </w:pPr>
          </w:p>
        </w:tc>
      </w:tr>
    </w:tbl>
    <w:p w14:paraId="3094B417" w14:textId="5039CCC8" w:rsidR="00C47C4C" w:rsidRPr="00437E05" w:rsidRDefault="00C47C4C" w:rsidP="006066FD">
      <w:pPr>
        <w:spacing w:after="0"/>
        <w:rPr>
          <w:rFonts w:ascii="Times New Roman" w:hAnsi="Times New Roman" w:cs="Times New Roman"/>
          <w:sz w:val="24"/>
          <w:szCs w:val="24"/>
        </w:rPr>
      </w:pPr>
    </w:p>
    <w:sectPr w:rsidR="00C47C4C" w:rsidRPr="00437E05" w:rsidSect="00231DDA">
      <w:pgSz w:w="16838" w:h="11906" w:orient="landscape"/>
      <w:pgMar w:top="170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5865" w14:textId="77777777" w:rsidR="007A39B7" w:rsidRDefault="007A39B7" w:rsidP="007A39B7">
      <w:pPr>
        <w:spacing w:after="0" w:line="240" w:lineRule="auto"/>
      </w:pPr>
      <w:r>
        <w:separator/>
      </w:r>
    </w:p>
  </w:endnote>
  <w:endnote w:type="continuationSeparator" w:id="0">
    <w:p w14:paraId="6A753608" w14:textId="77777777" w:rsidR="007A39B7" w:rsidRDefault="007A39B7" w:rsidP="007A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CABF" w14:textId="77777777" w:rsidR="007A39B7" w:rsidRDefault="007A39B7" w:rsidP="007A39B7">
      <w:pPr>
        <w:spacing w:after="0" w:line="240" w:lineRule="auto"/>
      </w:pPr>
      <w:r>
        <w:separator/>
      </w:r>
    </w:p>
  </w:footnote>
  <w:footnote w:type="continuationSeparator" w:id="0">
    <w:p w14:paraId="552F734F" w14:textId="77777777" w:rsidR="007A39B7" w:rsidRDefault="007A39B7" w:rsidP="007A39B7">
      <w:pPr>
        <w:spacing w:after="0" w:line="240" w:lineRule="auto"/>
      </w:pPr>
      <w:r>
        <w:continuationSeparator/>
      </w:r>
    </w:p>
  </w:footnote>
  <w:footnote w:id="1">
    <w:p w14:paraId="1EFE36A6" w14:textId="77777777" w:rsidR="007A39B7" w:rsidRPr="004924C5" w:rsidRDefault="007A39B7" w:rsidP="007A39B7">
      <w:pPr>
        <w:pStyle w:val="a4"/>
        <w:jc w:val="both"/>
      </w:pPr>
      <w:r>
        <w:rPr>
          <w:rStyle w:val="a6"/>
        </w:rPr>
        <w:footnoteRef/>
      </w:r>
      <w:r>
        <w:t xml:space="preserve"> Тут і далі під виробником мається на увазі як безпосередній виробник продукції, так і виробник, який постачає по своєму каналу та під своїми артикулами продукцію, що цілком або частково складається з продукції від </w:t>
      </w:r>
      <w:r>
        <w:rPr>
          <w:lang w:val="en-US"/>
        </w:rPr>
        <w:t>OEM-</w:t>
      </w:r>
      <w:r>
        <w:t>виробників, з якими цей виробник-постачальник має відповідне партнерство.</w:t>
      </w:r>
    </w:p>
  </w:footnote>
  <w:footnote w:id="2">
    <w:p w14:paraId="7E1BD0E7" w14:textId="77777777" w:rsidR="007A39B7" w:rsidRDefault="007A39B7" w:rsidP="007A39B7">
      <w:pPr>
        <w:pStyle w:val="a4"/>
      </w:pPr>
      <w:r w:rsidRPr="00092DA1">
        <w:rPr>
          <w:rStyle w:val="a6"/>
        </w:rPr>
        <w:footnoteRef/>
      </w:r>
      <w:r w:rsidRPr="00092DA1">
        <w:t xml:space="preserve"> </w:t>
      </w:r>
      <w:r w:rsidRPr="00092DA1">
        <w:t>Див. виноску №</w:t>
      </w:r>
      <w:r w:rsidRPr="00092DA1">
        <w:fldChar w:fldCharType="begin"/>
      </w:r>
      <w:r w:rsidRPr="00092DA1">
        <w:instrText xml:space="preserve"> NOTEREF _Ref108438536 \h </w:instrText>
      </w:r>
      <w:r w:rsidRPr="00092DA1">
        <w:fldChar w:fldCharType="separate"/>
      </w:r>
      <w:r w:rsidRPr="00092DA1">
        <w:t>1</w:t>
      </w:r>
      <w:r w:rsidRPr="00092DA1">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2DFE2F16"/>
    <w:multiLevelType w:val="hybridMultilevel"/>
    <w:tmpl w:val="227E9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45726D7"/>
    <w:multiLevelType w:val="hybridMultilevel"/>
    <w:tmpl w:val="C3680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9A07C2"/>
    <w:multiLevelType w:val="hybridMultilevel"/>
    <w:tmpl w:val="1AF81220"/>
    <w:lvl w:ilvl="0" w:tplc="5E18432A">
      <w:numFmt w:val="bullet"/>
      <w:lvlText w:val="-"/>
      <w:lvlJc w:val="left"/>
      <w:pPr>
        <w:ind w:left="660" w:hanging="360"/>
      </w:pPr>
      <w:rPr>
        <w:rFonts w:ascii="Times New Roman" w:eastAsia="Times New Roman" w:hAnsi="Times New Roman" w:cs="Times New Roman" w:hint="default"/>
      </w:rPr>
    </w:lvl>
    <w:lvl w:ilvl="1" w:tplc="20000003" w:tentative="1">
      <w:start w:val="1"/>
      <w:numFmt w:val="bullet"/>
      <w:lvlText w:val="o"/>
      <w:lvlJc w:val="left"/>
      <w:pPr>
        <w:ind w:left="1380" w:hanging="360"/>
      </w:pPr>
      <w:rPr>
        <w:rFonts w:ascii="Courier New" w:hAnsi="Courier New" w:cs="Courier New" w:hint="default"/>
      </w:rPr>
    </w:lvl>
    <w:lvl w:ilvl="2" w:tplc="20000005" w:tentative="1">
      <w:start w:val="1"/>
      <w:numFmt w:val="bullet"/>
      <w:lvlText w:val=""/>
      <w:lvlJc w:val="left"/>
      <w:pPr>
        <w:ind w:left="2100" w:hanging="360"/>
      </w:pPr>
      <w:rPr>
        <w:rFonts w:ascii="Wingdings" w:hAnsi="Wingdings" w:hint="default"/>
      </w:rPr>
    </w:lvl>
    <w:lvl w:ilvl="3" w:tplc="20000001" w:tentative="1">
      <w:start w:val="1"/>
      <w:numFmt w:val="bullet"/>
      <w:lvlText w:val=""/>
      <w:lvlJc w:val="left"/>
      <w:pPr>
        <w:ind w:left="2820" w:hanging="360"/>
      </w:pPr>
      <w:rPr>
        <w:rFonts w:ascii="Symbol" w:hAnsi="Symbol" w:hint="default"/>
      </w:rPr>
    </w:lvl>
    <w:lvl w:ilvl="4" w:tplc="20000003" w:tentative="1">
      <w:start w:val="1"/>
      <w:numFmt w:val="bullet"/>
      <w:lvlText w:val="o"/>
      <w:lvlJc w:val="left"/>
      <w:pPr>
        <w:ind w:left="3540" w:hanging="360"/>
      </w:pPr>
      <w:rPr>
        <w:rFonts w:ascii="Courier New" w:hAnsi="Courier New" w:cs="Courier New" w:hint="default"/>
      </w:rPr>
    </w:lvl>
    <w:lvl w:ilvl="5" w:tplc="20000005" w:tentative="1">
      <w:start w:val="1"/>
      <w:numFmt w:val="bullet"/>
      <w:lvlText w:val=""/>
      <w:lvlJc w:val="left"/>
      <w:pPr>
        <w:ind w:left="4260" w:hanging="360"/>
      </w:pPr>
      <w:rPr>
        <w:rFonts w:ascii="Wingdings" w:hAnsi="Wingdings" w:hint="default"/>
      </w:rPr>
    </w:lvl>
    <w:lvl w:ilvl="6" w:tplc="20000001" w:tentative="1">
      <w:start w:val="1"/>
      <w:numFmt w:val="bullet"/>
      <w:lvlText w:val=""/>
      <w:lvlJc w:val="left"/>
      <w:pPr>
        <w:ind w:left="4980" w:hanging="360"/>
      </w:pPr>
      <w:rPr>
        <w:rFonts w:ascii="Symbol" w:hAnsi="Symbol" w:hint="default"/>
      </w:rPr>
    </w:lvl>
    <w:lvl w:ilvl="7" w:tplc="20000003" w:tentative="1">
      <w:start w:val="1"/>
      <w:numFmt w:val="bullet"/>
      <w:lvlText w:val="o"/>
      <w:lvlJc w:val="left"/>
      <w:pPr>
        <w:ind w:left="5700" w:hanging="360"/>
      </w:pPr>
      <w:rPr>
        <w:rFonts w:ascii="Courier New" w:hAnsi="Courier New" w:cs="Courier New" w:hint="default"/>
      </w:rPr>
    </w:lvl>
    <w:lvl w:ilvl="8" w:tplc="20000005" w:tentative="1">
      <w:start w:val="1"/>
      <w:numFmt w:val="bullet"/>
      <w:lvlText w:val=""/>
      <w:lvlJc w:val="left"/>
      <w:pPr>
        <w:ind w:left="6420" w:hanging="360"/>
      </w:pPr>
      <w:rPr>
        <w:rFonts w:ascii="Wingdings" w:hAnsi="Wingdings" w:hint="default"/>
      </w:rPr>
    </w:lvl>
  </w:abstractNum>
  <w:abstractNum w:abstractNumId="4" w15:restartNumberingAfterBreak="0">
    <w:nsid w:val="4E2F3700"/>
    <w:multiLevelType w:val="hybridMultilevel"/>
    <w:tmpl w:val="67A80D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1344E9A"/>
    <w:multiLevelType w:val="multilevel"/>
    <w:tmpl w:val="0419001F"/>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CD4BBE"/>
    <w:multiLevelType w:val="hybridMultilevel"/>
    <w:tmpl w:val="5A4807B8"/>
    <w:lvl w:ilvl="0" w:tplc="E54C1FB4">
      <w:numFmt w:val="bullet"/>
      <w:lvlText w:val="-"/>
      <w:lvlJc w:val="left"/>
      <w:pPr>
        <w:ind w:left="413" w:hanging="360"/>
      </w:pPr>
      <w:rPr>
        <w:rFonts w:ascii="Arial" w:eastAsia="Times New Roman" w:hAnsi="Arial" w:cs="Arial"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start w:val="1"/>
      <w:numFmt w:val="bullet"/>
      <w:lvlText w:val="o"/>
      <w:lvlJc w:val="left"/>
      <w:pPr>
        <w:ind w:left="3293" w:hanging="360"/>
      </w:pPr>
      <w:rPr>
        <w:rFonts w:ascii="Courier New" w:hAnsi="Courier New" w:cs="Courier New" w:hint="default"/>
      </w:rPr>
    </w:lvl>
    <w:lvl w:ilvl="5" w:tplc="04090005">
      <w:start w:val="1"/>
      <w:numFmt w:val="bullet"/>
      <w:lvlText w:val=""/>
      <w:lvlJc w:val="left"/>
      <w:pPr>
        <w:ind w:left="4013" w:hanging="360"/>
      </w:pPr>
      <w:rPr>
        <w:rFonts w:ascii="Wingdings" w:hAnsi="Wingdings" w:hint="default"/>
      </w:rPr>
    </w:lvl>
    <w:lvl w:ilvl="6" w:tplc="04090001">
      <w:start w:val="1"/>
      <w:numFmt w:val="bullet"/>
      <w:lvlText w:val=""/>
      <w:lvlJc w:val="left"/>
      <w:pPr>
        <w:ind w:left="4733" w:hanging="360"/>
      </w:pPr>
      <w:rPr>
        <w:rFonts w:ascii="Symbol" w:hAnsi="Symbol" w:hint="default"/>
      </w:rPr>
    </w:lvl>
    <w:lvl w:ilvl="7" w:tplc="04090003">
      <w:start w:val="1"/>
      <w:numFmt w:val="bullet"/>
      <w:lvlText w:val="o"/>
      <w:lvlJc w:val="left"/>
      <w:pPr>
        <w:ind w:left="5453" w:hanging="360"/>
      </w:pPr>
      <w:rPr>
        <w:rFonts w:ascii="Courier New" w:hAnsi="Courier New" w:cs="Courier New" w:hint="default"/>
      </w:rPr>
    </w:lvl>
    <w:lvl w:ilvl="8" w:tplc="04090005">
      <w:start w:val="1"/>
      <w:numFmt w:val="bullet"/>
      <w:lvlText w:val=""/>
      <w:lvlJc w:val="left"/>
      <w:pPr>
        <w:ind w:left="6173" w:hanging="360"/>
      </w:pPr>
      <w:rPr>
        <w:rFonts w:ascii="Wingdings" w:hAnsi="Wingdings" w:hint="default"/>
      </w:rPr>
    </w:lvl>
  </w:abstractNum>
  <w:num w:numId="1" w16cid:durableId="1014768344">
    <w:abstractNumId w:val="2"/>
  </w:num>
  <w:num w:numId="2" w16cid:durableId="1776821807">
    <w:abstractNumId w:val="3"/>
  </w:num>
  <w:num w:numId="3" w16cid:durableId="737440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732156">
    <w:abstractNumId w:val="1"/>
  </w:num>
  <w:num w:numId="5" w16cid:durableId="1549414286">
    <w:abstractNumId w:val="0"/>
  </w:num>
  <w:num w:numId="6" w16cid:durableId="384766770">
    <w:abstractNumId w:val="6"/>
  </w:num>
  <w:num w:numId="7" w16cid:durableId="64370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FD"/>
    <w:rsid w:val="00231DDA"/>
    <w:rsid w:val="003106E6"/>
    <w:rsid w:val="00314D26"/>
    <w:rsid w:val="00386E37"/>
    <w:rsid w:val="003E67B9"/>
    <w:rsid w:val="00437E05"/>
    <w:rsid w:val="00453D5D"/>
    <w:rsid w:val="00476EC5"/>
    <w:rsid w:val="005872E4"/>
    <w:rsid w:val="005E5B38"/>
    <w:rsid w:val="006066FD"/>
    <w:rsid w:val="00672A46"/>
    <w:rsid w:val="006E0B10"/>
    <w:rsid w:val="007A39B7"/>
    <w:rsid w:val="008E6845"/>
    <w:rsid w:val="008F1307"/>
    <w:rsid w:val="00A43A3B"/>
    <w:rsid w:val="00B4675F"/>
    <w:rsid w:val="00C47C4C"/>
    <w:rsid w:val="00CD4F50"/>
    <w:rsid w:val="00D837ED"/>
    <w:rsid w:val="00DD1AD6"/>
    <w:rsid w:val="00E31014"/>
    <w:rsid w:val="00F346D2"/>
    <w:rsid w:val="00F630D1"/>
    <w:rsid w:val="00F674FD"/>
    <w:rsid w:val="00F81892"/>
    <w:rsid w:val="00FE5C6A"/>
    <w:rsid w:val="00FF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39A3"/>
  <w15:chartTrackingRefBased/>
  <w15:docId w15:val="{1A8909C5-0912-4803-86AD-024CD29D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7A39B7"/>
    <w:pPr>
      <w:spacing w:after="0" w:line="240" w:lineRule="auto"/>
    </w:pPr>
    <w:rPr>
      <w:rFonts w:ascii="Times New Roman" w:eastAsia="Arial" w:hAnsi="Times New Roman" w:cs="Times New Roman"/>
      <w:sz w:val="20"/>
      <w:szCs w:val="20"/>
      <w:lang w:eastAsia="ru-RU"/>
    </w:rPr>
  </w:style>
  <w:style w:type="character" w:customStyle="1" w:styleId="a5">
    <w:name w:val="Текст виноски Знак"/>
    <w:basedOn w:val="a0"/>
    <w:link w:val="a4"/>
    <w:rsid w:val="007A39B7"/>
    <w:rPr>
      <w:rFonts w:ascii="Times New Roman" w:eastAsia="Arial" w:hAnsi="Times New Roman" w:cs="Times New Roman"/>
      <w:sz w:val="20"/>
      <w:szCs w:val="20"/>
      <w:lang w:eastAsia="ru-RU"/>
    </w:rPr>
  </w:style>
  <w:style w:type="character" w:styleId="a6">
    <w:name w:val="footnote reference"/>
    <w:basedOn w:val="a0"/>
    <w:semiHidden/>
    <w:unhideWhenUsed/>
    <w:rsid w:val="007A39B7"/>
    <w:rPr>
      <w:vertAlign w:val="superscript"/>
    </w:rPr>
  </w:style>
  <w:style w:type="character" w:styleId="a7">
    <w:name w:val="Hyperlink"/>
    <w:basedOn w:val="a0"/>
    <w:uiPriority w:val="99"/>
    <w:unhideWhenUsed/>
    <w:rsid w:val="00E31014"/>
    <w:rPr>
      <w:color w:val="0563C1" w:themeColor="hyperlink"/>
      <w:u w:val="single"/>
    </w:rPr>
  </w:style>
  <w:style w:type="character" w:styleId="a8">
    <w:name w:val="Unresolved Mention"/>
    <w:basedOn w:val="a0"/>
    <w:uiPriority w:val="99"/>
    <w:semiHidden/>
    <w:unhideWhenUsed/>
    <w:rsid w:val="00E31014"/>
    <w:rPr>
      <w:color w:val="605E5C"/>
      <w:shd w:val="clear" w:color="auto" w:fill="E1DFDD"/>
    </w:rPr>
  </w:style>
  <w:style w:type="character" w:styleId="a9">
    <w:name w:val="FollowedHyperlink"/>
    <w:basedOn w:val="a0"/>
    <w:uiPriority w:val="99"/>
    <w:semiHidden/>
    <w:unhideWhenUsed/>
    <w:rsid w:val="00E31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9889</Words>
  <Characters>5637</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Володимирович Мішаков</dc:creator>
  <cp:keywords/>
  <dc:description/>
  <cp:lastModifiedBy>Олег Володимирович Мішаков</cp:lastModifiedBy>
  <cp:revision>10</cp:revision>
  <dcterms:created xsi:type="dcterms:W3CDTF">2023-09-13T09:13:00Z</dcterms:created>
  <dcterms:modified xsi:type="dcterms:W3CDTF">2023-09-15T05:37:00Z</dcterms:modified>
</cp:coreProperties>
</file>